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eastAsia="方正小标宋简体"/>
          <w:sz w:val="110"/>
          <w:szCs w:val="110"/>
        </w:rPr>
      </w:pPr>
      <w:bookmarkStart w:id="0" w:name="_Toc152042303"/>
      <w:bookmarkStart w:id="1" w:name="_Toc238552193"/>
      <w:bookmarkStart w:id="2" w:name="_Toc152045527"/>
      <w:bookmarkStart w:id="3" w:name="_Toc266992520"/>
      <w:bookmarkStart w:id="4" w:name="_Toc144974495"/>
      <w:bookmarkStart w:id="5" w:name="_Toc238797548"/>
      <w:bookmarkStart w:id="35" w:name="_GoBack"/>
      <w:bookmarkEnd w:id="35"/>
      <w:r>
        <w:rPr>
          <w:rFonts w:hint="eastAsia" w:ascii="方正小标宋简体" w:eastAsia="方正小标宋简体"/>
          <w:sz w:val="110"/>
          <w:szCs w:val="110"/>
        </w:rPr>
        <w:t>竞标文件</w:t>
      </w:r>
    </w:p>
    <w:p>
      <w:pPr>
        <w:spacing w:line="400" w:lineRule="exact"/>
        <w:jc w:val="center"/>
        <w:rPr>
          <w:rFonts w:ascii="黑体" w:hAnsi="宋体" w:eastAsia="黑体"/>
          <w:b/>
          <w:sz w:val="30"/>
          <w:szCs w:val="30"/>
        </w:rPr>
      </w:pPr>
    </w:p>
    <w:p>
      <w:pPr>
        <w:spacing w:line="400" w:lineRule="exact"/>
        <w:jc w:val="center"/>
        <w:rPr>
          <w:rFonts w:ascii="黑体" w:hAnsi="宋体" w:eastAsia="黑体"/>
          <w:b/>
          <w:sz w:val="30"/>
          <w:szCs w:val="30"/>
        </w:rPr>
      </w:pPr>
      <w:r>
        <w:rPr>
          <w:rFonts w:hint="eastAsia" w:ascii="黑体" w:hAnsi="宋体" w:eastAsia="黑体"/>
          <w:b/>
          <w:sz w:val="30"/>
          <w:szCs w:val="30"/>
        </w:rPr>
        <w:t xml:space="preserve">招标编号： </w:t>
      </w: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600" w:lineRule="exact"/>
        <w:jc w:val="center"/>
        <w:rPr>
          <w:rFonts w:eastAsia="黑体"/>
          <w:sz w:val="30"/>
          <w:szCs w:val="30"/>
        </w:rPr>
      </w:pPr>
      <w:r>
        <w:rPr>
          <w:rFonts w:hint="eastAsia" w:eastAsia="黑体"/>
          <w:sz w:val="30"/>
          <w:szCs w:val="30"/>
        </w:rPr>
        <w:t>招标人： 南方石墨新材料有限公司</w:t>
      </w:r>
    </w:p>
    <w:p>
      <w:pPr>
        <w:spacing w:line="400" w:lineRule="exact"/>
        <w:jc w:val="center"/>
        <w:rPr>
          <w:rFonts w:eastAsia="黑体"/>
          <w:b/>
          <w:sz w:val="28"/>
          <w:szCs w:val="28"/>
        </w:rPr>
      </w:pPr>
    </w:p>
    <w:p>
      <w:pPr>
        <w:adjustRightInd w:val="0"/>
        <w:snapToGrid w:val="0"/>
        <w:spacing w:beforeLines="100" w:line="360" w:lineRule="auto"/>
        <w:jc w:val="center"/>
        <w:rPr>
          <w:rFonts w:ascii="黑体" w:eastAsia="黑体"/>
          <w:b/>
          <w:sz w:val="28"/>
          <w:szCs w:val="28"/>
        </w:rPr>
      </w:pPr>
      <w:r>
        <w:rPr>
          <w:rFonts w:hint="eastAsia" w:ascii="黑体" w:eastAsia="黑体"/>
          <w:b/>
          <w:sz w:val="28"/>
          <w:szCs w:val="28"/>
        </w:rPr>
        <w:t xml:space="preserve">2020年3月 </w:t>
      </w:r>
    </w:p>
    <w:p>
      <w:pPr>
        <w:adjustRightInd w:val="0"/>
        <w:snapToGrid w:val="0"/>
        <w:spacing w:beforeLines="100" w:line="360" w:lineRule="auto"/>
        <w:jc w:val="center"/>
        <w:rPr>
          <w:rFonts w:ascii="宋体" w:hAnsi="宋体"/>
        </w:rPr>
      </w:pPr>
      <w:r>
        <w:rPr>
          <w:rFonts w:ascii="宋体" w:hAnsi="宋体"/>
        </w:rPr>
        <w:br w:type="page"/>
      </w:r>
    </w:p>
    <w:p>
      <w:pPr>
        <w:adjustRightInd w:val="0"/>
        <w:snapToGrid w:val="0"/>
        <w:spacing w:beforeLines="100" w:line="360" w:lineRule="auto"/>
        <w:jc w:val="center"/>
        <w:rPr>
          <w:b/>
          <w:sz w:val="48"/>
        </w:rPr>
      </w:pPr>
      <w:r>
        <w:rPr>
          <w:rFonts w:hint="eastAsia"/>
          <w:b/>
          <w:sz w:val="48"/>
        </w:rPr>
        <w:t>目    录</w:t>
      </w:r>
    </w:p>
    <w:p>
      <w:pPr>
        <w:adjustRightInd w:val="0"/>
        <w:snapToGrid w:val="0"/>
        <w:spacing w:line="408" w:lineRule="auto"/>
        <w:ind w:left="46" w:leftChars="-64" w:right="-132" w:rightChars="-63" w:hanging="180" w:hangingChars="75"/>
        <w:textAlignment w:val="baseline"/>
        <w:rPr>
          <w:rFonts w:ascii="宋体" w:hAnsi="宋体"/>
          <w:bCs/>
          <w:sz w:val="24"/>
          <w:u w:val="dotted" w:color="969696"/>
        </w:rPr>
      </w:pPr>
    </w:p>
    <w:p>
      <w:pPr>
        <w:adjustRightInd w:val="0"/>
        <w:snapToGrid w:val="0"/>
        <w:spacing w:line="408" w:lineRule="auto"/>
        <w:ind w:left="46" w:leftChars="-64" w:right="-132" w:rightChars="-63" w:hanging="180" w:hangingChars="75"/>
        <w:textAlignment w:val="baseline"/>
        <w:rPr>
          <w:rFonts w:ascii="宋体" w:hAnsi="宋体"/>
          <w:sz w:val="24"/>
          <w:u w:val="dotted" w:color="969696"/>
        </w:rPr>
      </w:pPr>
      <w:r>
        <w:rPr>
          <w:rFonts w:hint="eastAsia" w:ascii="宋体" w:hAnsi="宋体"/>
          <w:bCs/>
          <w:sz w:val="24"/>
          <w:u w:val="dotted" w:color="969696"/>
        </w:rPr>
        <w:t xml:space="preserve"> 第一章.</w:t>
      </w:r>
      <w:r>
        <w:rPr>
          <w:rFonts w:hint="eastAsia" w:ascii="宋体" w:hAnsi="宋体"/>
          <w:sz w:val="24"/>
          <w:u w:val="dotted" w:color="969696"/>
        </w:rPr>
        <w:t xml:space="preserve">南方石墨新材料有限公司浮选尾矿处理项目竞标公示                                                        </w:t>
      </w:r>
    </w:p>
    <w:p>
      <w:pPr>
        <w:adjustRightInd w:val="0"/>
        <w:snapToGrid w:val="0"/>
        <w:spacing w:line="408" w:lineRule="auto"/>
        <w:ind w:left="46" w:leftChars="-64" w:right="-132" w:rightChars="-63" w:hanging="180" w:hangingChars="75"/>
        <w:textAlignment w:val="baseline"/>
        <w:rPr>
          <w:rFonts w:ascii="宋体" w:hAnsi="宋体"/>
          <w:sz w:val="24"/>
          <w:u w:val="dotted" w:color="969696"/>
        </w:rPr>
      </w:pPr>
      <w:r>
        <w:rPr>
          <w:rFonts w:hint="eastAsia" w:ascii="宋体" w:hAnsi="宋体"/>
          <w:sz w:val="24"/>
          <w:u w:val="dotted" w:color="969696"/>
        </w:rPr>
        <w:t xml:space="preserve"> 第二章.竞标人须知                                                          </w:t>
      </w:r>
    </w:p>
    <w:p>
      <w:pPr>
        <w:adjustRightInd w:val="0"/>
        <w:snapToGrid w:val="0"/>
        <w:spacing w:line="408" w:lineRule="auto"/>
        <w:ind w:left="46" w:leftChars="-64" w:right="-132" w:rightChars="-63" w:hanging="180" w:hangingChars="75"/>
        <w:textAlignment w:val="baseline"/>
        <w:rPr>
          <w:rFonts w:ascii="宋体" w:hAnsi="宋体"/>
          <w:sz w:val="24"/>
          <w:u w:val="dotted" w:color="969696"/>
        </w:rPr>
      </w:pPr>
      <w:r>
        <w:rPr>
          <w:rFonts w:hint="eastAsia" w:ascii="宋体" w:hAnsi="宋体"/>
          <w:sz w:val="24"/>
          <w:u w:val="dotted" w:color="969696"/>
        </w:rPr>
        <w:t xml:space="preserve"> 第三章.评标办法                                                            </w:t>
      </w:r>
    </w:p>
    <w:p>
      <w:pPr>
        <w:adjustRightInd w:val="0"/>
        <w:snapToGrid w:val="0"/>
        <w:spacing w:line="408" w:lineRule="auto"/>
        <w:ind w:left="16" w:leftChars="-21" w:right="-132" w:rightChars="-63" w:hanging="60" w:hangingChars="25"/>
        <w:textAlignment w:val="baseline"/>
        <w:rPr>
          <w:rFonts w:ascii="宋体" w:hAnsi="宋体"/>
          <w:sz w:val="24"/>
          <w:u w:val="dotted" w:color="969696"/>
        </w:rPr>
      </w:pPr>
      <w:r>
        <w:rPr>
          <w:rFonts w:hint="eastAsia" w:ascii="宋体" w:hAnsi="宋体"/>
          <w:sz w:val="24"/>
          <w:u w:val="dotted" w:color="969696"/>
        </w:rPr>
        <w:t>第四章.</w:t>
      </w:r>
      <w:r>
        <w:rPr>
          <w:rFonts w:hint="eastAsia" w:ascii="仿宋_GB2312" w:hAnsi="Helvetica" w:eastAsia="仿宋_GB2312" w:cs="Helvetica"/>
          <w:b/>
          <w:sz w:val="36"/>
          <w:szCs w:val="28"/>
        </w:rPr>
        <w:t xml:space="preserve"> </w:t>
      </w:r>
      <w:r>
        <w:rPr>
          <w:rFonts w:hint="eastAsia" w:ascii="宋体" w:hAnsi="宋体"/>
          <w:sz w:val="24"/>
          <w:u w:val="dotted" w:color="969696"/>
        </w:rPr>
        <w:t xml:space="preserve">浮选尾矿处理协议                                               </w:t>
      </w:r>
    </w:p>
    <w:p>
      <w:pPr>
        <w:adjustRightInd w:val="0"/>
        <w:snapToGrid w:val="0"/>
        <w:spacing w:line="408" w:lineRule="auto"/>
        <w:ind w:left="46" w:leftChars="-64" w:right="-132" w:rightChars="-63" w:hanging="180" w:hangingChars="75"/>
        <w:textAlignment w:val="baseline"/>
        <w:rPr>
          <w:rFonts w:ascii="宋体" w:hAnsi="宋体"/>
          <w:sz w:val="24"/>
          <w:u w:val="dotted" w:color="969696"/>
        </w:rPr>
      </w:pPr>
      <w:r>
        <w:rPr>
          <w:rFonts w:hint="eastAsia" w:ascii="宋体" w:hAnsi="宋体"/>
          <w:sz w:val="24"/>
          <w:u w:val="dotted" w:color="969696"/>
        </w:rPr>
        <w:t xml:space="preserve"> 第五章.</w:t>
      </w:r>
      <w:r>
        <w:rPr>
          <w:rFonts w:hint="eastAsia"/>
        </w:rPr>
        <w:t xml:space="preserve"> </w:t>
      </w:r>
      <w:r>
        <w:rPr>
          <w:rFonts w:hint="eastAsia" w:ascii="宋体" w:hAnsi="宋体"/>
          <w:sz w:val="24"/>
          <w:u w:val="dotted" w:color="969696"/>
        </w:rPr>
        <w:t xml:space="preserve">2020年南方石墨新材料有限公司浮选尾矿处理竞标报价表                      </w:t>
      </w:r>
    </w:p>
    <w:p>
      <w:pPr>
        <w:adjustRightInd w:val="0"/>
        <w:snapToGrid w:val="0"/>
        <w:spacing w:line="408" w:lineRule="auto"/>
        <w:ind w:left="46" w:leftChars="-7" w:right="-132" w:rightChars="-63" w:hanging="60" w:hangingChars="25"/>
        <w:textAlignment w:val="baseline"/>
        <w:rPr>
          <w:rFonts w:ascii="宋体" w:hAnsi="宋体"/>
          <w:sz w:val="24"/>
          <w:u w:val="dotted" w:color="969696"/>
        </w:rPr>
      </w:pPr>
      <w:r>
        <w:rPr>
          <w:rFonts w:hint="eastAsia" w:ascii="宋体" w:hAnsi="宋体"/>
          <w:sz w:val="24"/>
          <w:u w:val="dotted" w:color="969696"/>
        </w:rPr>
        <w:t xml:space="preserve">第六章.竞标文件格式及内容                                                      </w:t>
      </w:r>
    </w:p>
    <w:p>
      <w:pPr>
        <w:spacing w:line="400" w:lineRule="exact"/>
        <w:jc w:val="center"/>
        <w:rPr>
          <w:rFonts w:ascii="宋体" w:hAnsi="宋体"/>
          <w:b/>
          <w:bCs/>
          <w:sz w:val="32"/>
        </w:rPr>
      </w:pPr>
    </w:p>
    <w:p>
      <w:pPr>
        <w:spacing w:line="400" w:lineRule="exact"/>
        <w:jc w:val="center"/>
        <w:rPr>
          <w:rFonts w:ascii="宋体" w:hAnsi="宋体"/>
          <w:b/>
          <w:bCs/>
          <w:sz w:val="32"/>
        </w:rPr>
      </w:pPr>
    </w:p>
    <w:p>
      <w:pPr>
        <w:spacing w:line="400" w:lineRule="exact"/>
        <w:jc w:val="center"/>
        <w:rPr>
          <w:rFonts w:ascii="宋体" w:hAnsi="宋体"/>
          <w:b/>
          <w:bCs/>
          <w:sz w:val="32"/>
        </w:rPr>
      </w:pPr>
    </w:p>
    <w:p>
      <w:pPr>
        <w:spacing w:line="400" w:lineRule="exact"/>
        <w:jc w:val="center"/>
        <w:rPr>
          <w:rFonts w:ascii="宋体" w:hAnsi="宋体"/>
          <w:b/>
          <w:bCs/>
          <w:sz w:val="32"/>
        </w:rPr>
      </w:pPr>
    </w:p>
    <w:p>
      <w:pPr>
        <w:spacing w:line="400" w:lineRule="exact"/>
        <w:jc w:val="center"/>
        <w:rPr>
          <w:rFonts w:ascii="宋体" w:hAnsi="宋体"/>
          <w:b/>
          <w:bCs/>
          <w:sz w:val="32"/>
        </w:rPr>
      </w:pPr>
    </w:p>
    <w:p>
      <w:pPr>
        <w:spacing w:line="400" w:lineRule="exact"/>
        <w:jc w:val="center"/>
        <w:rPr>
          <w:rFonts w:ascii="宋体" w:hAnsi="宋体"/>
          <w:b/>
          <w:bCs/>
          <w:sz w:val="32"/>
        </w:rPr>
      </w:pPr>
    </w:p>
    <w:p>
      <w:pPr>
        <w:spacing w:line="400" w:lineRule="exact"/>
        <w:jc w:val="center"/>
        <w:rPr>
          <w:rFonts w:ascii="宋体" w:hAnsi="宋体"/>
          <w:b/>
          <w:bCs/>
          <w:sz w:val="32"/>
        </w:rPr>
      </w:pPr>
    </w:p>
    <w:p>
      <w:pPr>
        <w:spacing w:line="400" w:lineRule="exact"/>
        <w:jc w:val="center"/>
        <w:rPr>
          <w:rFonts w:ascii="宋体" w:hAnsi="宋体"/>
          <w:b/>
          <w:bCs/>
          <w:sz w:val="32"/>
        </w:rPr>
      </w:pPr>
    </w:p>
    <w:p>
      <w:pPr>
        <w:spacing w:line="400" w:lineRule="exact"/>
        <w:jc w:val="center"/>
        <w:rPr>
          <w:rFonts w:ascii="宋体" w:hAnsi="宋体"/>
          <w:b/>
          <w:bCs/>
          <w:sz w:val="32"/>
        </w:rPr>
      </w:pPr>
    </w:p>
    <w:p>
      <w:pPr>
        <w:spacing w:line="400" w:lineRule="exact"/>
        <w:jc w:val="center"/>
        <w:rPr>
          <w:rFonts w:ascii="宋体" w:hAnsi="宋体"/>
          <w:b/>
          <w:bCs/>
          <w:sz w:val="32"/>
        </w:rPr>
      </w:pPr>
    </w:p>
    <w:p>
      <w:pPr>
        <w:spacing w:line="400" w:lineRule="exact"/>
        <w:jc w:val="center"/>
        <w:rPr>
          <w:rFonts w:ascii="宋体" w:hAnsi="宋体"/>
          <w:b/>
          <w:bCs/>
          <w:sz w:val="32"/>
        </w:rPr>
      </w:pPr>
    </w:p>
    <w:p>
      <w:pPr>
        <w:spacing w:line="400" w:lineRule="exact"/>
        <w:jc w:val="center"/>
        <w:rPr>
          <w:rFonts w:ascii="宋体" w:hAnsi="宋体"/>
          <w:b/>
          <w:bCs/>
          <w:sz w:val="32"/>
        </w:rPr>
      </w:pPr>
    </w:p>
    <w:p>
      <w:pPr>
        <w:spacing w:line="400" w:lineRule="exact"/>
        <w:jc w:val="center"/>
        <w:rPr>
          <w:rFonts w:ascii="宋体" w:hAnsi="宋体"/>
          <w:b/>
          <w:bCs/>
          <w:sz w:val="32"/>
        </w:rPr>
      </w:pPr>
    </w:p>
    <w:p>
      <w:pPr>
        <w:spacing w:line="400" w:lineRule="exact"/>
        <w:jc w:val="center"/>
        <w:rPr>
          <w:rFonts w:ascii="宋体" w:hAnsi="宋体"/>
          <w:b/>
          <w:bCs/>
          <w:sz w:val="32"/>
        </w:rPr>
      </w:pPr>
    </w:p>
    <w:p>
      <w:pPr>
        <w:spacing w:line="400" w:lineRule="exact"/>
        <w:jc w:val="center"/>
        <w:rPr>
          <w:rFonts w:ascii="宋体" w:hAnsi="宋体"/>
          <w:b/>
          <w:bCs/>
          <w:sz w:val="32"/>
        </w:rPr>
      </w:pPr>
    </w:p>
    <w:p>
      <w:pPr>
        <w:spacing w:line="400" w:lineRule="exact"/>
        <w:jc w:val="center"/>
        <w:rPr>
          <w:rFonts w:ascii="宋体" w:hAnsi="宋体"/>
          <w:b/>
          <w:bCs/>
          <w:sz w:val="32"/>
        </w:rPr>
      </w:pPr>
    </w:p>
    <w:p>
      <w:pPr>
        <w:spacing w:line="400" w:lineRule="exact"/>
        <w:jc w:val="center"/>
        <w:rPr>
          <w:rFonts w:ascii="宋体" w:hAnsi="宋体"/>
          <w:b/>
          <w:bCs/>
          <w:sz w:val="32"/>
        </w:rPr>
      </w:pPr>
    </w:p>
    <w:p>
      <w:pPr>
        <w:spacing w:line="400" w:lineRule="exact"/>
        <w:jc w:val="center"/>
        <w:rPr>
          <w:rFonts w:ascii="宋体" w:hAnsi="宋体"/>
          <w:b/>
          <w:bCs/>
          <w:sz w:val="32"/>
        </w:rPr>
      </w:pPr>
    </w:p>
    <w:p>
      <w:pPr>
        <w:spacing w:line="400" w:lineRule="exact"/>
        <w:jc w:val="center"/>
        <w:rPr>
          <w:rFonts w:ascii="宋体" w:hAnsi="宋体"/>
          <w:b/>
          <w:bCs/>
          <w:sz w:val="32"/>
        </w:rPr>
      </w:pPr>
    </w:p>
    <w:p>
      <w:pPr>
        <w:spacing w:line="400" w:lineRule="exact"/>
        <w:jc w:val="center"/>
        <w:rPr>
          <w:rFonts w:ascii="宋体" w:hAnsi="宋体"/>
          <w:b/>
          <w:bCs/>
          <w:sz w:val="32"/>
        </w:rPr>
      </w:pPr>
    </w:p>
    <w:p>
      <w:pPr>
        <w:spacing w:line="400" w:lineRule="exact"/>
        <w:jc w:val="center"/>
        <w:rPr>
          <w:rFonts w:ascii="宋体" w:hAnsi="宋体"/>
          <w:b/>
          <w:bCs/>
          <w:sz w:val="32"/>
        </w:rPr>
      </w:pPr>
    </w:p>
    <w:p>
      <w:pPr>
        <w:spacing w:line="400" w:lineRule="exact"/>
        <w:jc w:val="center"/>
        <w:rPr>
          <w:rFonts w:ascii="宋体" w:hAnsi="宋体"/>
          <w:b/>
          <w:bCs/>
          <w:sz w:val="32"/>
        </w:rPr>
      </w:pPr>
    </w:p>
    <w:p>
      <w:pPr>
        <w:spacing w:line="400" w:lineRule="exact"/>
        <w:jc w:val="center"/>
        <w:rPr>
          <w:rFonts w:ascii="宋体" w:hAnsi="宋体"/>
          <w:b/>
          <w:bCs/>
          <w:sz w:val="32"/>
        </w:rPr>
      </w:pPr>
    </w:p>
    <w:p>
      <w:pPr>
        <w:spacing w:line="400" w:lineRule="exact"/>
        <w:jc w:val="center"/>
        <w:rPr>
          <w:rFonts w:ascii="宋体" w:hAnsi="宋体"/>
          <w:b/>
          <w:bCs/>
          <w:sz w:val="32"/>
        </w:rPr>
      </w:pPr>
    </w:p>
    <w:p>
      <w:pPr>
        <w:spacing w:line="560" w:lineRule="exact"/>
        <w:jc w:val="center"/>
        <w:rPr>
          <w:rFonts w:asciiTheme="majorEastAsia" w:hAnsiTheme="majorEastAsia" w:eastAsiaTheme="majorEastAsia" w:cstheme="majorEastAsia"/>
          <w:bCs/>
          <w:sz w:val="44"/>
          <w:szCs w:val="44"/>
        </w:rPr>
      </w:pPr>
      <w:r>
        <w:rPr>
          <w:rFonts w:hint="eastAsia" w:asciiTheme="majorEastAsia" w:hAnsiTheme="majorEastAsia" w:eastAsiaTheme="majorEastAsia" w:cstheme="majorEastAsia"/>
          <w:bCs/>
          <w:sz w:val="44"/>
          <w:szCs w:val="44"/>
        </w:rPr>
        <w:t>2020年南方石墨新材料有限公司浮选尾矿处理项目</w:t>
      </w:r>
      <w:r>
        <w:rPr>
          <w:rFonts w:hint="eastAsia" w:asciiTheme="majorEastAsia" w:hAnsiTheme="majorEastAsia" w:eastAsiaTheme="majorEastAsia" w:cstheme="majorEastAsia"/>
          <w:bCs/>
          <w:sz w:val="44"/>
          <w:szCs w:val="36"/>
        </w:rPr>
        <w:t>竞标公示</w:t>
      </w:r>
    </w:p>
    <w:p>
      <w:pPr>
        <w:snapToGrid w:val="0"/>
        <w:spacing w:line="560" w:lineRule="exact"/>
        <w:ind w:firstLine="560" w:firstLineChars="200"/>
        <w:rPr>
          <w:rFonts w:ascii="仿宋_GB2312" w:hAnsi="宋体" w:eastAsia="仿宋_GB2312"/>
          <w:color w:val="000000"/>
          <w:sz w:val="28"/>
          <w:szCs w:val="28"/>
        </w:rPr>
      </w:pP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color w:val="000000"/>
          <w:sz w:val="28"/>
          <w:szCs w:val="28"/>
        </w:rPr>
        <w:t>南方石墨新材料有限公司2019年12月针对浮选尾矿、燃煤飞灰进行了盘点，根据公司初步统计的数据，目前公司浮选尾矿、燃煤飞灰共计约3200吨（以实际过磅数据为准，其中燃煤飞灰约150吨），根据《中华人民共和国招标投标法》以及有关法律法规，遵循公开、公平、公正和诚实信用的原则，就公司浮选尾矿处理进行公开竞标，选择具备非金属矿销售资格、法人资质合格</w:t>
      </w:r>
      <w:r>
        <w:rPr>
          <w:rFonts w:hint="eastAsia" w:ascii="仿宋_GB2312" w:hAnsi="宋体" w:eastAsia="仿宋_GB2312"/>
          <w:sz w:val="28"/>
          <w:szCs w:val="28"/>
        </w:rPr>
        <w:t>的公司进行项目招标。</w:t>
      </w:r>
    </w:p>
    <w:p>
      <w:pPr>
        <w:adjustRightInd w:val="0"/>
        <w:snapToGrid w:val="0"/>
        <w:spacing w:line="560" w:lineRule="exact"/>
        <w:ind w:firstLine="562" w:firstLineChars="201"/>
        <w:rPr>
          <w:rFonts w:ascii="仿宋_GB2312" w:hAnsi="宋体" w:eastAsia="仿宋_GB2312"/>
          <w:b/>
          <w:color w:val="000000"/>
          <w:sz w:val="28"/>
          <w:szCs w:val="28"/>
        </w:rPr>
      </w:pPr>
      <w:r>
        <w:rPr>
          <w:rFonts w:hint="eastAsia" w:ascii="仿宋_GB2312" w:hAnsi="宋体" w:eastAsia="仿宋_GB2312"/>
          <w:b/>
          <w:color w:val="000000"/>
          <w:sz w:val="28"/>
          <w:szCs w:val="28"/>
        </w:rPr>
        <w:t>1、项目概况及招标范围</w:t>
      </w:r>
    </w:p>
    <w:p>
      <w:pPr>
        <w:adjustRightInd w:val="0"/>
        <w:snapToGrid w:val="0"/>
        <w:spacing w:line="560" w:lineRule="exact"/>
        <w:ind w:firstLine="562" w:firstLineChars="201"/>
        <w:rPr>
          <w:rFonts w:ascii="仿宋_GB2312" w:hAnsi="宋体" w:eastAsia="仿宋_GB2312"/>
          <w:color w:val="000000"/>
          <w:sz w:val="28"/>
          <w:szCs w:val="28"/>
        </w:rPr>
      </w:pPr>
      <w:r>
        <w:rPr>
          <w:rFonts w:hint="eastAsia" w:ascii="仿宋_GB2312" w:hAnsi="宋体" w:eastAsia="仿宋_GB2312"/>
          <w:color w:val="000000"/>
          <w:sz w:val="28"/>
          <w:szCs w:val="28"/>
        </w:rPr>
        <w:t>本项目为南方石墨新材料有限公司浮选尾矿处理项目，处理物资划分为2个种类，即浮选尾矿、燃煤飞灰，竞标范围为郴州市区内，具体竞标内容见竞标文件。</w:t>
      </w:r>
    </w:p>
    <w:p>
      <w:pPr>
        <w:adjustRightInd w:val="0"/>
        <w:snapToGrid w:val="0"/>
        <w:spacing w:line="560" w:lineRule="exact"/>
        <w:ind w:firstLine="643"/>
        <w:rPr>
          <w:rFonts w:ascii="仿宋_GB2312" w:eastAsia="仿宋_GB2312"/>
          <w:b/>
          <w:color w:val="000000"/>
          <w:sz w:val="28"/>
          <w:szCs w:val="28"/>
        </w:rPr>
      </w:pPr>
      <w:r>
        <w:rPr>
          <w:rFonts w:hint="eastAsia" w:ascii="仿宋_GB2312" w:hAnsi="宋体" w:eastAsia="仿宋_GB2312"/>
          <w:b/>
          <w:color w:val="000000"/>
          <w:sz w:val="28"/>
          <w:szCs w:val="28"/>
        </w:rPr>
        <w:t>2、</w:t>
      </w:r>
      <w:r>
        <w:rPr>
          <w:rFonts w:hint="eastAsia" w:ascii="仿宋_GB2312" w:eastAsia="仿宋_GB2312"/>
          <w:b/>
          <w:color w:val="000000"/>
          <w:sz w:val="28"/>
          <w:szCs w:val="28"/>
        </w:rPr>
        <w:t>招标依据</w:t>
      </w:r>
    </w:p>
    <w:p>
      <w:pPr>
        <w:adjustRightInd w:val="0"/>
        <w:snapToGrid w:val="0"/>
        <w:spacing w:line="560" w:lineRule="exact"/>
        <w:ind w:firstLine="640"/>
        <w:rPr>
          <w:rFonts w:ascii="仿宋_GB2312" w:eastAsia="仿宋_GB2312"/>
          <w:sz w:val="28"/>
          <w:szCs w:val="28"/>
        </w:rPr>
      </w:pPr>
      <w:r>
        <w:rPr>
          <w:rFonts w:hint="eastAsia" w:ascii="仿宋_GB2312" w:eastAsia="仿宋_GB2312"/>
          <w:color w:val="000000"/>
          <w:sz w:val="28"/>
          <w:szCs w:val="28"/>
        </w:rPr>
        <w:t>1.《中华人民共</w:t>
      </w:r>
      <w:r>
        <w:rPr>
          <w:rFonts w:hint="eastAsia" w:ascii="仿宋_GB2312" w:eastAsia="仿宋_GB2312"/>
          <w:sz w:val="28"/>
          <w:szCs w:val="28"/>
        </w:rPr>
        <w:t>和国招标投标法》；</w:t>
      </w:r>
    </w:p>
    <w:p>
      <w:pPr>
        <w:adjustRightInd w:val="0"/>
        <w:snapToGrid w:val="0"/>
        <w:spacing w:line="560" w:lineRule="exact"/>
        <w:ind w:firstLine="640"/>
        <w:rPr>
          <w:rFonts w:ascii="仿宋_GB2312" w:eastAsia="仿宋_GB2312"/>
          <w:sz w:val="28"/>
          <w:szCs w:val="28"/>
        </w:rPr>
      </w:pPr>
      <w:r>
        <w:rPr>
          <w:rFonts w:hint="eastAsia" w:ascii="仿宋_GB2312" w:eastAsia="仿宋_GB2312"/>
          <w:sz w:val="28"/>
          <w:szCs w:val="28"/>
        </w:rPr>
        <w:t>2．《南方石墨新材料有限公司招投标管理办法》。</w:t>
      </w:r>
    </w:p>
    <w:p>
      <w:pPr>
        <w:adjustRightInd w:val="0"/>
        <w:snapToGrid w:val="0"/>
        <w:spacing w:line="560" w:lineRule="exact"/>
        <w:ind w:firstLine="643"/>
        <w:rPr>
          <w:rFonts w:ascii="仿宋_GB2312" w:eastAsia="仿宋_GB2312"/>
          <w:b/>
          <w:sz w:val="28"/>
          <w:szCs w:val="28"/>
        </w:rPr>
      </w:pPr>
      <w:r>
        <w:rPr>
          <w:rFonts w:hint="eastAsia" w:ascii="仿宋_GB2312" w:eastAsia="仿宋_GB2312"/>
          <w:b/>
          <w:sz w:val="28"/>
          <w:szCs w:val="28"/>
        </w:rPr>
        <w:t>3、竞标方式</w:t>
      </w:r>
    </w:p>
    <w:p>
      <w:pPr>
        <w:adjustRightInd w:val="0"/>
        <w:snapToGrid w:val="0"/>
        <w:spacing w:line="560" w:lineRule="exact"/>
        <w:ind w:firstLine="640"/>
        <w:rPr>
          <w:rFonts w:ascii="仿宋_GB2312" w:eastAsia="仿宋_GB2312"/>
          <w:sz w:val="28"/>
          <w:szCs w:val="28"/>
        </w:rPr>
      </w:pPr>
      <w:r>
        <w:rPr>
          <w:rFonts w:hint="eastAsia" w:ascii="仿宋_GB2312" w:eastAsia="仿宋_GB2312"/>
          <w:sz w:val="28"/>
          <w:szCs w:val="28"/>
        </w:rPr>
        <w:t>3.1、在南方石墨新材料有限公司进行竞标。</w:t>
      </w:r>
    </w:p>
    <w:p>
      <w:pPr>
        <w:adjustRightInd w:val="0"/>
        <w:snapToGrid w:val="0"/>
        <w:spacing w:line="560" w:lineRule="exact"/>
        <w:ind w:firstLine="640"/>
        <w:rPr>
          <w:rFonts w:ascii="仿宋_GB2312" w:eastAsia="仿宋_GB2312"/>
          <w:sz w:val="28"/>
          <w:szCs w:val="28"/>
        </w:rPr>
      </w:pPr>
      <w:r>
        <w:rPr>
          <w:rFonts w:hint="eastAsia" w:ascii="仿宋_GB2312" w:eastAsia="仿宋_GB2312"/>
          <w:sz w:val="28"/>
          <w:szCs w:val="28"/>
        </w:rPr>
        <w:t>3.2、竞标人对2个类别的浮选尾矿应作为一个标件进行竞标。</w:t>
      </w:r>
    </w:p>
    <w:p>
      <w:pPr>
        <w:adjustRightInd w:val="0"/>
        <w:snapToGrid w:val="0"/>
        <w:spacing w:line="560" w:lineRule="exact"/>
        <w:ind w:firstLine="640"/>
        <w:rPr>
          <w:rFonts w:ascii="仿宋_GB2312" w:hAnsi="宋体" w:eastAsia="仿宋_GB2312"/>
          <w:b/>
          <w:sz w:val="28"/>
          <w:szCs w:val="28"/>
        </w:rPr>
      </w:pPr>
      <w:r>
        <w:rPr>
          <w:rFonts w:hint="eastAsia" w:ascii="仿宋_GB2312" w:hAnsi="宋体" w:eastAsia="仿宋_GB2312"/>
          <w:b/>
          <w:sz w:val="28"/>
          <w:szCs w:val="28"/>
        </w:rPr>
        <w:t>4、竞标人资格要求</w:t>
      </w:r>
    </w:p>
    <w:p>
      <w:pPr>
        <w:adjustRightInd w:val="0"/>
        <w:snapToGrid w:val="0"/>
        <w:spacing w:line="560" w:lineRule="exact"/>
        <w:ind w:firstLine="640"/>
        <w:rPr>
          <w:rFonts w:ascii="仿宋_GB2312" w:hAnsi="宋体" w:eastAsia="仿宋_GB2312"/>
          <w:sz w:val="28"/>
          <w:szCs w:val="28"/>
        </w:rPr>
      </w:pPr>
      <w:r>
        <w:rPr>
          <w:rFonts w:hint="eastAsia" w:ascii="仿宋_GB2312" w:hAnsi="宋体" w:eastAsia="仿宋_GB2312"/>
          <w:sz w:val="28"/>
          <w:szCs w:val="28"/>
        </w:rPr>
        <w:t>竞标人必须具备独立法人资格（注册资本达￥50 万元人民币＜含＞以上、未取得法人资格的自由人，在中标后7个工作日内必须取得法人资格和相关资质，否则中标作废），法人代表身份证明、营业执照、竞标授权委托书、税务登记证、无不良经营记录。</w:t>
      </w:r>
    </w:p>
    <w:p>
      <w:pPr>
        <w:adjustRightInd w:val="0"/>
        <w:snapToGrid w:val="0"/>
        <w:spacing w:line="560" w:lineRule="exact"/>
        <w:ind w:firstLine="640"/>
        <w:rPr>
          <w:rFonts w:ascii="仿宋_GB2312" w:hAnsi="宋体" w:eastAsia="仿宋_GB2312"/>
          <w:b/>
          <w:sz w:val="28"/>
          <w:szCs w:val="28"/>
        </w:rPr>
      </w:pPr>
      <w:r>
        <w:rPr>
          <w:rFonts w:hint="eastAsia" w:ascii="仿宋_GB2312" w:hAnsi="宋体" w:eastAsia="仿宋_GB2312"/>
          <w:b/>
          <w:sz w:val="28"/>
          <w:szCs w:val="28"/>
        </w:rPr>
        <w:t>5、竞标文件的获取</w:t>
      </w:r>
    </w:p>
    <w:p>
      <w:pPr>
        <w:adjustRightInd w:val="0"/>
        <w:snapToGrid w:val="0"/>
        <w:spacing w:line="560" w:lineRule="exact"/>
        <w:ind w:left="420" w:leftChars="200" w:firstLine="215" w:firstLineChars="77"/>
        <w:rPr>
          <w:rFonts w:ascii="仿宋_GB2312" w:hAnsi="宋体" w:eastAsia="仿宋_GB2312"/>
          <w:sz w:val="28"/>
          <w:szCs w:val="28"/>
        </w:rPr>
      </w:pPr>
      <w:r>
        <w:rPr>
          <w:rFonts w:hint="eastAsia" w:ascii="仿宋_GB2312" w:hAnsi="宋体" w:eastAsia="仿宋_GB2312"/>
          <w:sz w:val="28"/>
          <w:szCs w:val="28"/>
        </w:rPr>
        <w:t>5.1凡有意参加竞标者请于</w:t>
      </w:r>
      <w:r>
        <w:rPr>
          <w:rFonts w:hint="eastAsia" w:ascii="仿宋_GB2312" w:hAnsi="宋体" w:eastAsia="仿宋_GB2312"/>
          <w:sz w:val="28"/>
          <w:szCs w:val="28"/>
          <w:u w:val="single"/>
        </w:rPr>
        <w:t xml:space="preserve"> 2020 </w:t>
      </w:r>
      <w:r>
        <w:rPr>
          <w:rFonts w:hint="eastAsia" w:ascii="仿宋_GB2312" w:hAnsi="宋体" w:eastAsia="仿宋_GB2312"/>
          <w:sz w:val="28"/>
          <w:szCs w:val="28"/>
        </w:rPr>
        <w:t>年</w:t>
      </w:r>
      <w:r>
        <w:rPr>
          <w:rFonts w:hint="eastAsia" w:ascii="仿宋_GB2312" w:hAnsi="宋体" w:eastAsia="仿宋_GB2312"/>
          <w:sz w:val="28"/>
          <w:szCs w:val="28"/>
          <w:u w:val="single"/>
        </w:rPr>
        <w:t xml:space="preserve"> 4 </w:t>
      </w:r>
      <w:r>
        <w:rPr>
          <w:rFonts w:hint="eastAsia" w:ascii="仿宋_GB2312" w:hAnsi="宋体" w:eastAsia="仿宋_GB2312"/>
          <w:sz w:val="28"/>
          <w:szCs w:val="28"/>
        </w:rPr>
        <w:t>月</w:t>
      </w:r>
      <w:r>
        <w:rPr>
          <w:rFonts w:hint="eastAsia" w:ascii="仿宋_GB2312" w:hAnsi="宋体" w:eastAsia="仿宋_GB2312"/>
          <w:sz w:val="28"/>
          <w:szCs w:val="28"/>
          <w:u w:val="single"/>
        </w:rPr>
        <w:t xml:space="preserve"> 1 </w:t>
      </w:r>
      <w:r>
        <w:rPr>
          <w:rFonts w:hint="eastAsia" w:ascii="仿宋_GB2312" w:hAnsi="宋体" w:eastAsia="仿宋_GB2312"/>
          <w:sz w:val="28"/>
          <w:szCs w:val="28"/>
        </w:rPr>
        <w:t>日至</w:t>
      </w:r>
      <w:r>
        <w:rPr>
          <w:rFonts w:hint="eastAsia" w:ascii="仿宋_GB2312" w:hAnsi="宋体" w:eastAsia="仿宋_GB2312"/>
          <w:sz w:val="28"/>
          <w:szCs w:val="28"/>
          <w:u w:val="single"/>
        </w:rPr>
        <w:t xml:space="preserve"> 2020 </w:t>
      </w:r>
      <w:r>
        <w:rPr>
          <w:rFonts w:hint="eastAsia" w:ascii="仿宋_GB2312" w:hAnsi="宋体" w:eastAsia="仿宋_GB2312"/>
          <w:sz w:val="28"/>
          <w:szCs w:val="28"/>
        </w:rPr>
        <w:t>年</w:t>
      </w:r>
      <w:r>
        <w:rPr>
          <w:rFonts w:hint="eastAsia" w:ascii="仿宋_GB2312" w:hAnsi="宋体" w:eastAsia="仿宋_GB2312"/>
          <w:sz w:val="28"/>
          <w:szCs w:val="28"/>
          <w:u w:val="single"/>
        </w:rPr>
        <w:t xml:space="preserve"> 4 </w:t>
      </w:r>
      <w:r>
        <w:rPr>
          <w:rFonts w:hint="eastAsia" w:ascii="仿宋_GB2312" w:hAnsi="宋体" w:eastAsia="仿宋_GB2312"/>
          <w:sz w:val="28"/>
          <w:szCs w:val="28"/>
        </w:rPr>
        <w:t>月</w:t>
      </w:r>
      <w:r>
        <w:rPr>
          <w:rFonts w:hint="eastAsia" w:ascii="仿宋_GB2312" w:hAnsi="宋体" w:eastAsia="仿宋_GB2312"/>
          <w:sz w:val="28"/>
          <w:szCs w:val="28"/>
          <w:u w:val="single"/>
        </w:rPr>
        <w:t xml:space="preserve"> 6 </w:t>
      </w:r>
      <w:r>
        <w:rPr>
          <w:rFonts w:hint="eastAsia" w:ascii="仿宋_GB2312" w:hAnsi="宋体" w:eastAsia="仿宋_GB2312"/>
          <w:sz w:val="28"/>
          <w:szCs w:val="28"/>
        </w:rPr>
        <w:t>日（法定公休日、法定节假日除外），每日上午8时至12时，下午14时至17时（北京时间），持单位介绍信、本人身份证，提供邮箱号码及其他联系方式，在</w:t>
      </w:r>
      <w:r>
        <w:rPr>
          <w:rFonts w:hint="eastAsia" w:ascii="仿宋_GB2312" w:hAnsi="宋体" w:eastAsia="仿宋_GB2312"/>
          <w:sz w:val="28"/>
          <w:szCs w:val="28"/>
          <w:u w:val="single"/>
        </w:rPr>
        <w:t>南方石墨新材料有限公司办公楼2楼报名领取竞标文件。</w:t>
      </w:r>
    </w:p>
    <w:p>
      <w:pPr>
        <w:snapToGrid w:val="0"/>
        <w:spacing w:line="560" w:lineRule="exact"/>
        <w:ind w:firstLine="565" w:firstLineChars="202"/>
        <w:rPr>
          <w:rFonts w:ascii="仿宋_GB2312" w:hAnsi="宋体" w:eastAsia="仿宋_GB2312"/>
          <w:sz w:val="28"/>
          <w:szCs w:val="28"/>
          <w:u w:val="single"/>
        </w:rPr>
      </w:pPr>
    </w:p>
    <w:p>
      <w:pPr>
        <w:adjustRightInd w:val="0"/>
        <w:snapToGrid w:val="0"/>
        <w:spacing w:line="560" w:lineRule="exact"/>
        <w:rPr>
          <w:rFonts w:ascii="仿宋_GB2312" w:hAnsi="宋体" w:eastAsia="仿宋_GB2312"/>
          <w:b/>
          <w:sz w:val="28"/>
          <w:szCs w:val="28"/>
        </w:rPr>
      </w:pPr>
      <w:r>
        <w:rPr>
          <w:rFonts w:hint="eastAsia" w:ascii="仿宋_GB2312" w:hAnsi="宋体" w:eastAsia="仿宋_GB2312"/>
          <w:b/>
          <w:sz w:val="28"/>
          <w:szCs w:val="28"/>
        </w:rPr>
        <w:t>6、竞标文件的递交</w:t>
      </w:r>
    </w:p>
    <w:p>
      <w:pPr>
        <w:adjustRightInd w:val="0"/>
        <w:snapToGrid w:val="0"/>
        <w:spacing w:line="560" w:lineRule="exact"/>
        <w:ind w:left="1" w:firstLine="560" w:firstLineChars="200"/>
        <w:rPr>
          <w:rFonts w:ascii="仿宋_GB2312" w:hAnsi="宋体" w:eastAsia="仿宋_GB2312"/>
          <w:sz w:val="28"/>
          <w:szCs w:val="28"/>
        </w:rPr>
      </w:pPr>
      <w:r>
        <w:rPr>
          <w:rFonts w:hint="eastAsia" w:ascii="仿宋_GB2312" w:hAnsi="宋体" w:eastAsia="仿宋_GB2312"/>
          <w:sz w:val="28"/>
          <w:szCs w:val="28"/>
        </w:rPr>
        <w:t>6.1</w:t>
      </w:r>
      <w:r>
        <w:rPr>
          <w:rFonts w:hint="eastAsia" w:ascii="仿宋_GB2312" w:hAnsi="宋体" w:eastAsia="仿宋_GB2312"/>
          <w:b/>
          <w:sz w:val="28"/>
          <w:szCs w:val="28"/>
        </w:rPr>
        <w:t>递交竞标文件的截止时间及开标时间为</w:t>
      </w:r>
      <w:r>
        <w:rPr>
          <w:rFonts w:hint="eastAsia" w:ascii="仿宋_GB2312" w:hAnsi="宋体" w:eastAsia="仿宋_GB2312"/>
          <w:sz w:val="28"/>
          <w:szCs w:val="28"/>
        </w:rPr>
        <w:t>：</w:t>
      </w:r>
      <w:r>
        <w:rPr>
          <w:rFonts w:hint="eastAsia" w:ascii="仿宋_GB2312" w:hAnsi="宋体" w:eastAsia="仿宋_GB2312"/>
          <w:sz w:val="28"/>
          <w:szCs w:val="28"/>
          <w:u w:val="single"/>
        </w:rPr>
        <w:t xml:space="preserve"> 2020 </w:t>
      </w:r>
      <w:r>
        <w:rPr>
          <w:rFonts w:hint="eastAsia" w:ascii="仿宋_GB2312" w:hAnsi="宋体" w:eastAsia="仿宋_GB2312"/>
          <w:sz w:val="28"/>
          <w:szCs w:val="28"/>
        </w:rPr>
        <w:t>年</w:t>
      </w:r>
      <w:r>
        <w:rPr>
          <w:rFonts w:hint="eastAsia" w:ascii="仿宋_GB2312" w:hAnsi="宋体" w:eastAsia="仿宋_GB2312"/>
          <w:sz w:val="28"/>
          <w:szCs w:val="28"/>
          <w:u w:val="single"/>
        </w:rPr>
        <w:t xml:space="preserve"> 4 </w:t>
      </w:r>
      <w:r>
        <w:rPr>
          <w:rFonts w:hint="eastAsia" w:ascii="仿宋_GB2312" w:hAnsi="宋体" w:eastAsia="仿宋_GB2312"/>
          <w:sz w:val="28"/>
          <w:szCs w:val="28"/>
        </w:rPr>
        <w:t>月7日</w:t>
      </w:r>
      <w:r>
        <w:rPr>
          <w:rFonts w:hint="eastAsia" w:ascii="仿宋_GB2312" w:hAnsi="宋体" w:eastAsia="仿宋_GB2312"/>
          <w:sz w:val="28"/>
          <w:szCs w:val="28"/>
          <w:u w:val="single"/>
        </w:rPr>
        <w:t xml:space="preserve"> 09 </w:t>
      </w:r>
      <w:r>
        <w:rPr>
          <w:rFonts w:hint="eastAsia" w:ascii="仿宋_GB2312" w:hAnsi="宋体" w:eastAsia="仿宋_GB2312"/>
          <w:sz w:val="28"/>
          <w:szCs w:val="28"/>
        </w:rPr>
        <w:t>时</w:t>
      </w:r>
      <w:r>
        <w:rPr>
          <w:rFonts w:hint="eastAsia" w:ascii="仿宋_GB2312" w:hAnsi="宋体" w:eastAsia="仿宋_GB2312"/>
          <w:sz w:val="28"/>
          <w:szCs w:val="28"/>
          <w:u w:val="single"/>
        </w:rPr>
        <w:t xml:space="preserve"> 30 </w:t>
      </w:r>
      <w:r>
        <w:rPr>
          <w:rFonts w:hint="eastAsia" w:ascii="仿宋_GB2312" w:hAnsi="宋体" w:eastAsia="仿宋_GB2312"/>
          <w:sz w:val="28"/>
          <w:szCs w:val="28"/>
        </w:rPr>
        <w:t>分。递交地点：</w:t>
      </w:r>
      <w:r>
        <w:rPr>
          <w:rFonts w:hint="eastAsia" w:ascii="仿宋_GB2312" w:hAnsi="宋体" w:eastAsia="仿宋_GB2312"/>
          <w:sz w:val="28"/>
          <w:szCs w:val="28"/>
          <w:u w:val="single"/>
        </w:rPr>
        <w:t xml:space="preserve"> 开标现场递交投标文件。</w:t>
      </w:r>
    </w:p>
    <w:p>
      <w:pPr>
        <w:adjustRightInd w:val="0"/>
        <w:snapToGrid w:val="0"/>
        <w:spacing w:line="560" w:lineRule="exact"/>
        <w:ind w:firstLine="560"/>
        <w:rPr>
          <w:rFonts w:ascii="仿宋_GB2312" w:hAnsi="宋体" w:eastAsia="仿宋_GB2312"/>
          <w:sz w:val="28"/>
          <w:szCs w:val="28"/>
        </w:rPr>
      </w:pPr>
      <w:r>
        <w:rPr>
          <w:rFonts w:hint="eastAsia" w:ascii="仿宋_GB2312" w:hAnsi="宋体" w:eastAsia="仿宋_GB2312"/>
          <w:sz w:val="28"/>
          <w:szCs w:val="28"/>
        </w:rPr>
        <w:t>6.2 逾期送达或者未送达指定地点的投标文件，招标人不予受理。</w:t>
      </w:r>
    </w:p>
    <w:p>
      <w:pPr>
        <w:tabs>
          <w:tab w:val="left" w:pos="2940"/>
        </w:tabs>
        <w:snapToGrid w:val="0"/>
        <w:spacing w:line="560" w:lineRule="exact"/>
        <w:rPr>
          <w:rFonts w:ascii="仿宋_GB2312" w:hAnsi="宋体" w:eastAsia="仿宋_GB2312"/>
          <w:b/>
          <w:bCs/>
          <w:sz w:val="28"/>
          <w:szCs w:val="28"/>
        </w:rPr>
      </w:pPr>
      <w:bookmarkStart w:id="6" w:name="_Toc243475756"/>
      <w:bookmarkStart w:id="7" w:name="_Toc259973121"/>
      <w:r>
        <w:rPr>
          <w:rFonts w:hint="eastAsia" w:ascii="仿宋_GB2312" w:hAnsi="宋体" w:eastAsia="仿宋_GB2312"/>
          <w:b/>
          <w:bCs/>
          <w:sz w:val="28"/>
          <w:szCs w:val="28"/>
        </w:rPr>
        <w:t>7. 联系方式</w:t>
      </w:r>
      <w:bookmarkEnd w:id="6"/>
      <w:bookmarkEnd w:id="7"/>
      <w:r>
        <w:rPr>
          <w:rFonts w:ascii="仿宋_GB2312" w:hAnsi="宋体" w:eastAsia="仿宋_GB2312"/>
          <w:b/>
          <w:bCs/>
          <w:sz w:val="28"/>
          <w:szCs w:val="28"/>
        </w:rPr>
        <w:tab/>
      </w:r>
    </w:p>
    <w:p>
      <w:pPr>
        <w:adjustRightInd w:val="0"/>
        <w:snapToGrid w:val="0"/>
        <w:spacing w:line="560" w:lineRule="exact"/>
        <w:ind w:firstLine="560"/>
        <w:rPr>
          <w:rFonts w:ascii="仿宋_GB2312" w:hAnsi="宋体" w:eastAsia="仿宋_GB2312"/>
          <w:sz w:val="28"/>
          <w:szCs w:val="28"/>
        </w:rPr>
      </w:pPr>
      <w:r>
        <w:rPr>
          <w:rFonts w:hint="eastAsia" w:ascii="仿宋_GB2312" w:hAnsi="宋体" w:eastAsia="仿宋_GB2312"/>
          <w:sz w:val="28"/>
          <w:szCs w:val="28"/>
        </w:rPr>
        <w:t>招 标 人： 南方石墨新材料有限公司</w:t>
      </w:r>
    </w:p>
    <w:p>
      <w:pPr>
        <w:adjustRightInd w:val="0"/>
        <w:snapToGrid w:val="0"/>
        <w:spacing w:line="560" w:lineRule="exact"/>
        <w:ind w:firstLine="560"/>
        <w:rPr>
          <w:rFonts w:ascii="仿宋_GB2312" w:hAnsi="宋体" w:eastAsia="仿宋_GB2312"/>
          <w:sz w:val="28"/>
          <w:szCs w:val="28"/>
        </w:rPr>
      </w:pPr>
      <w:r>
        <w:rPr>
          <w:rFonts w:hint="eastAsia" w:ascii="仿宋_GB2312" w:hAnsi="宋体" w:eastAsia="仿宋_GB2312"/>
          <w:sz w:val="28"/>
          <w:szCs w:val="28"/>
        </w:rPr>
        <w:t>地    址：</w:t>
      </w:r>
      <w:r>
        <w:rPr>
          <w:rFonts w:hint="eastAsia" w:ascii="仿宋_GB2312" w:hAnsi="宋体" w:eastAsia="仿宋_GB2312"/>
          <w:sz w:val="28"/>
          <w:szCs w:val="28"/>
          <w:u w:val="single"/>
        </w:rPr>
        <w:t>郴州市北湖区鲁塘镇</w:t>
      </w:r>
    </w:p>
    <w:p>
      <w:pPr>
        <w:snapToGrid w:val="0"/>
        <w:spacing w:line="560" w:lineRule="exact"/>
        <w:ind w:firstLine="560"/>
        <w:rPr>
          <w:rFonts w:ascii="仿宋_GB2312" w:hAnsi="宋体" w:eastAsia="仿宋_GB2312"/>
          <w:sz w:val="28"/>
          <w:szCs w:val="28"/>
        </w:rPr>
      </w:pPr>
      <w:r>
        <w:rPr>
          <w:rFonts w:hint="eastAsia" w:ascii="仿宋_GB2312" w:hAnsi="宋体" w:eastAsia="仿宋_GB2312"/>
          <w:sz w:val="28"/>
          <w:szCs w:val="28"/>
        </w:rPr>
        <w:t xml:space="preserve">联 系 人及 电 话： </w:t>
      </w:r>
      <w:bookmarkEnd w:id="0"/>
      <w:bookmarkEnd w:id="1"/>
      <w:bookmarkEnd w:id="2"/>
      <w:bookmarkEnd w:id="3"/>
      <w:bookmarkEnd w:id="4"/>
      <w:bookmarkEnd w:id="5"/>
    </w:p>
    <w:p>
      <w:pPr>
        <w:snapToGrid w:val="0"/>
        <w:spacing w:line="560" w:lineRule="exact"/>
        <w:ind w:firstLine="560"/>
        <w:rPr>
          <w:rFonts w:ascii="仿宋_GB2312" w:hAnsi="宋体" w:eastAsia="仿宋_GB2312"/>
          <w:sz w:val="28"/>
          <w:szCs w:val="28"/>
        </w:rPr>
      </w:pPr>
    </w:p>
    <w:p>
      <w:pPr>
        <w:snapToGrid w:val="0"/>
        <w:spacing w:line="560" w:lineRule="exact"/>
        <w:jc w:val="right"/>
        <w:rPr>
          <w:rFonts w:ascii="仿宋_GB2312" w:hAnsi="宋体" w:eastAsia="仿宋_GB2312"/>
          <w:sz w:val="28"/>
          <w:szCs w:val="28"/>
        </w:rPr>
      </w:pPr>
      <w:r>
        <w:rPr>
          <w:rFonts w:hint="eastAsia" w:ascii="仿宋_GB2312" w:hAnsi="宋体" w:eastAsia="仿宋_GB2312"/>
          <w:sz w:val="28"/>
          <w:szCs w:val="28"/>
        </w:rPr>
        <w:t>南方石墨新材料有限公司</w:t>
      </w:r>
    </w:p>
    <w:p>
      <w:pPr>
        <w:snapToGrid w:val="0"/>
        <w:spacing w:line="560" w:lineRule="exact"/>
        <w:ind w:firstLine="5320" w:firstLineChars="1900"/>
        <w:rPr>
          <w:rFonts w:ascii="仿宋_GB2312" w:hAnsi="宋体" w:eastAsia="仿宋_GB2312"/>
          <w:sz w:val="28"/>
          <w:szCs w:val="28"/>
        </w:rPr>
      </w:pPr>
      <w:r>
        <w:rPr>
          <w:rFonts w:hint="eastAsia" w:ascii="仿宋_GB2312" w:hAnsi="宋体" w:eastAsia="仿宋_GB2312"/>
          <w:sz w:val="28"/>
          <w:szCs w:val="28"/>
        </w:rPr>
        <w:t>2020年 3 月 23 日</w:t>
      </w:r>
    </w:p>
    <w:p>
      <w:pPr>
        <w:snapToGrid w:val="0"/>
        <w:spacing w:line="560" w:lineRule="exact"/>
        <w:ind w:firstLine="560"/>
        <w:rPr>
          <w:rFonts w:ascii="仿宋_GB2312" w:hAnsi="宋体" w:eastAsia="仿宋_GB2312"/>
          <w:sz w:val="28"/>
          <w:szCs w:val="28"/>
        </w:rPr>
      </w:pPr>
    </w:p>
    <w:p>
      <w:pPr>
        <w:snapToGrid w:val="0"/>
        <w:spacing w:line="560" w:lineRule="exact"/>
        <w:ind w:firstLine="560"/>
        <w:rPr>
          <w:rFonts w:ascii="仿宋_GB2312" w:hAnsi="宋体" w:eastAsia="仿宋_GB2312"/>
          <w:sz w:val="28"/>
          <w:szCs w:val="28"/>
        </w:rPr>
      </w:pPr>
    </w:p>
    <w:p>
      <w:pPr>
        <w:snapToGrid w:val="0"/>
        <w:spacing w:line="560" w:lineRule="exact"/>
        <w:ind w:firstLine="560"/>
        <w:rPr>
          <w:rFonts w:ascii="仿宋_GB2312" w:hAnsi="宋体" w:eastAsia="仿宋_GB2312"/>
          <w:sz w:val="28"/>
          <w:szCs w:val="28"/>
        </w:rPr>
      </w:pPr>
    </w:p>
    <w:p>
      <w:pPr>
        <w:snapToGrid w:val="0"/>
        <w:spacing w:line="560" w:lineRule="exact"/>
        <w:ind w:firstLine="560"/>
        <w:rPr>
          <w:rFonts w:ascii="仿宋_GB2312" w:hAnsi="宋体" w:eastAsia="仿宋_GB2312"/>
          <w:sz w:val="28"/>
          <w:szCs w:val="28"/>
        </w:rPr>
      </w:pPr>
    </w:p>
    <w:p>
      <w:pPr>
        <w:snapToGrid w:val="0"/>
        <w:spacing w:line="560" w:lineRule="exact"/>
        <w:ind w:firstLine="560"/>
        <w:rPr>
          <w:rFonts w:ascii="仿宋_GB2312" w:hAnsi="宋体" w:eastAsia="仿宋_GB2312"/>
          <w:sz w:val="28"/>
          <w:szCs w:val="28"/>
        </w:rPr>
      </w:pPr>
    </w:p>
    <w:p>
      <w:pPr>
        <w:snapToGrid w:val="0"/>
        <w:spacing w:line="560" w:lineRule="exact"/>
        <w:ind w:firstLine="560"/>
        <w:rPr>
          <w:rFonts w:ascii="仿宋_GB2312" w:hAnsi="宋体" w:eastAsia="仿宋_GB2312"/>
          <w:sz w:val="28"/>
          <w:szCs w:val="28"/>
        </w:rPr>
      </w:pPr>
    </w:p>
    <w:p>
      <w:pPr>
        <w:spacing w:line="560" w:lineRule="exact"/>
        <w:jc w:val="center"/>
        <w:rPr>
          <w:rFonts w:ascii="仿宋_GB2312" w:hAnsi="黑体" w:eastAsia="仿宋_GB2312"/>
          <w:b/>
          <w:sz w:val="36"/>
          <w:szCs w:val="36"/>
        </w:rPr>
      </w:pPr>
      <w:r>
        <w:rPr>
          <w:rFonts w:hint="eastAsia" w:ascii="仿宋_GB2312" w:hAnsi="黑体" w:eastAsia="仿宋_GB2312"/>
          <w:b/>
          <w:sz w:val="36"/>
          <w:szCs w:val="36"/>
        </w:rPr>
        <w:t>第二章 竞标人须知</w:t>
      </w:r>
    </w:p>
    <w:p>
      <w:pPr>
        <w:spacing w:line="560" w:lineRule="exact"/>
        <w:jc w:val="center"/>
        <w:rPr>
          <w:rFonts w:ascii="仿宋_GB2312" w:hAnsi="黑体" w:eastAsia="仿宋_GB2312"/>
          <w:b/>
          <w:sz w:val="36"/>
          <w:szCs w:val="36"/>
        </w:rPr>
      </w:pPr>
    </w:p>
    <w:p>
      <w:pPr>
        <w:spacing w:line="560" w:lineRule="exact"/>
        <w:rPr>
          <w:rFonts w:ascii="仿宋_GB2312" w:hAnsi="宋体" w:eastAsia="仿宋_GB2312"/>
          <w:sz w:val="28"/>
          <w:szCs w:val="28"/>
        </w:rPr>
      </w:pPr>
      <w:bookmarkStart w:id="8" w:name="_Toc238797549"/>
      <w:bookmarkStart w:id="9" w:name="_Toc238552194"/>
      <w:bookmarkStart w:id="10" w:name="_Toc266992521"/>
      <w:bookmarkStart w:id="11" w:name="_Toc152042304"/>
      <w:bookmarkStart w:id="12" w:name="_Toc152045528"/>
      <w:bookmarkStart w:id="13" w:name="_Toc144974496"/>
      <w:r>
        <w:rPr>
          <w:rFonts w:hint="eastAsia" w:ascii="仿宋_GB2312" w:hAnsi="宋体" w:eastAsia="仿宋_GB2312"/>
          <w:sz w:val="28"/>
          <w:szCs w:val="28"/>
        </w:rPr>
        <w:t>竞标人须知前附表</w:t>
      </w:r>
      <w:bookmarkEnd w:id="8"/>
      <w:bookmarkEnd w:id="9"/>
      <w:bookmarkEnd w:id="10"/>
      <w:bookmarkEnd w:id="11"/>
      <w:bookmarkEnd w:id="12"/>
      <w:bookmarkEnd w:id="13"/>
    </w:p>
    <w:tbl>
      <w:tblPr>
        <w:tblStyle w:val="27"/>
        <w:tblW w:w="9215" w:type="dxa"/>
        <w:tblInd w:w="-176" w:type="dxa"/>
        <w:tblLayout w:type="fixed"/>
        <w:tblCellMar>
          <w:top w:w="0" w:type="dxa"/>
          <w:left w:w="108" w:type="dxa"/>
          <w:bottom w:w="0" w:type="dxa"/>
          <w:right w:w="108" w:type="dxa"/>
        </w:tblCellMar>
      </w:tblPr>
      <w:tblGrid>
        <w:gridCol w:w="1184"/>
        <w:gridCol w:w="3635"/>
        <w:gridCol w:w="4396"/>
      </w:tblGrid>
      <w:tr>
        <w:tblPrEx>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jc w:val="center"/>
              <w:textAlignment w:val="baseline"/>
              <w:rPr>
                <w:rFonts w:ascii="仿宋_GB2312" w:hAnsi="宋体" w:eastAsia="仿宋_GB2312"/>
                <w:b/>
                <w:sz w:val="24"/>
              </w:rPr>
            </w:pPr>
            <w:r>
              <w:rPr>
                <w:rFonts w:hint="eastAsia" w:ascii="仿宋_GB2312" w:hAnsi="宋体" w:eastAsia="仿宋_GB2312"/>
                <w:b/>
                <w:sz w:val="24"/>
              </w:rPr>
              <w:t>条款号</w:t>
            </w:r>
          </w:p>
        </w:tc>
        <w:tc>
          <w:tcPr>
            <w:tcW w:w="3635"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jc w:val="center"/>
              <w:textAlignment w:val="baseline"/>
              <w:rPr>
                <w:rFonts w:ascii="仿宋_GB2312" w:hAnsi="宋体" w:eastAsia="仿宋_GB2312"/>
                <w:b/>
                <w:sz w:val="24"/>
              </w:rPr>
            </w:pPr>
            <w:r>
              <w:rPr>
                <w:rFonts w:hint="eastAsia" w:ascii="仿宋_GB2312" w:hAnsi="宋体" w:eastAsia="仿宋_GB2312"/>
                <w:b/>
                <w:sz w:val="24"/>
              </w:rPr>
              <w:t>条  款  名  称</w:t>
            </w:r>
          </w:p>
        </w:tc>
        <w:tc>
          <w:tcPr>
            <w:tcW w:w="4396"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jc w:val="center"/>
              <w:textAlignment w:val="baseline"/>
              <w:rPr>
                <w:rFonts w:ascii="仿宋_GB2312" w:hAnsi="宋体" w:eastAsia="仿宋_GB2312"/>
                <w:b/>
                <w:sz w:val="24"/>
              </w:rPr>
            </w:pPr>
            <w:r>
              <w:rPr>
                <w:rFonts w:hint="eastAsia" w:ascii="仿宋_GB2312" w:hAnsi="宋体" w:eastAsia="仿宋_GB2312"/>
                <w:b/>
                <w:sz w:val="24"/>
              </w:rPr>
              <w:t>编  列  内  容</w:t>
            </w:r>
          </w:p>
        </w:tc>
      </w:tr>
      <w:tr>
        <w:tblPrEx>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jc w:val="center"/>
              <w:textAlignment w:val="baseline"/>
              <w:rPr>
                <w:rFonts w:ascii="仿宋_GB2312" w:hAnsi="宋体" w:eastAsia="仿宋_GB2312"/>
                <w:sz w:val="24"/>
              </w:rPr>
            </w:pPr>
            <w:r>
              <w:rPr>
                <w:rFonts w:hint="eastAsia" w:ascii="仿宋_GB2312" w:hAnsi="宋体" w:eastAsia="仿宋_GB2312"/>
                <w:sz w:val="24"/>
              </w:rPr>
              <w:t>1</w:t>
            </w:r>
          </w:p>
        </w:tc>
        <w:tc>
          <w:tcPr>
            <w:tcW w:w="3635"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jc w:val="center"/>
              <w:textAlignment w:val="baseline"/>
              <w:rPr>
                <w:rFonts w:ascii="仿宋_GB2312" w:hAnsi="宋体" w:eastAsia="仿宋_GB2312"/>
                <w:sz w:val="24"/>
              </w:rPr>
            </w:pPr>
            <w:r>
              <w:rPr>
                <w:rFonts w:hint="eastAsia" w:ascii="仿宋_GB2312" w:hAnsi="宋体" w:eastAsia="仿宋_GB2312"/>
                <w:sz w:val="24"/>
              </w:rPr>
              <w:t>招标编号</w:t>
            </w:r>
          </w:p>
        </w:tc>
        <w:tc>
          <w:tcPr>
            <w:tcW w:w="4396"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textAlignment w:val="baseline"/>
              <w:rPr>
                <w:rFonts w:ascii="仿宋_GB2312" w:hAnsi="宋体" w:eastAsia="仿宋_GB2312"/>
                <w:sz w:val="24"/>
              </w:rPr>
            </w:pPr>
            <w:r>
              <w:rPr>
                <w:rFonts w:hint="eastAsia" w:ascii="仿宋_GB2312" w:hAnsi="宋体" w:eastAsia="仿宋_GB2312"/>
                <w:sz w:val="24"/>
              </w:rPr>
              <w:t xml:space="preserve"> NF2020第 1 号</w:t>
            </w:r>
          </w:p>
        </w:tc>
      </w:tr>
      <w:tr>
        <w:tblPrEx>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jc w:val="center"/>
              <w:textAlignment w:val="baseline"/>
              <w:rPr>
                <w:rFonts w:ascii="仿宋_GB2312" w:hAnsi="宋体" w:eastAsia="仿宋_GB2312"/>
                <w:sz w:val="24"/>
              </w:rPr>
            </w:pPr>
            <w:r>
              <w:rPr>
                <w:rFonts w:hint="eastAsia" w:ascii="仿宋_GB2312" w:hAnsi="宋体" w:eastAsia="仿宋_GB2312"/>
                <w:sz w:val="24"/>
              </w:rPr>
              <w:t>2</w:t>
            </w:r>
          </w:p>
        </w:tc>
        <w:tc>
          <w:tcPr>
            <w:tcW w:w="3635"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jc w:val="center"/>
              <w:textAlignment w:val="baseline"/>
              <w:rPr>
                <w:rFonts w:ascii="仿宋_GB2312" w:hAnsi="宋体" w:eastAsia="仿宋_GB2312"/>
                <w:sz w:val="24"/>
              </w:rPr>
            </w:pPr>
            <w:r>
              <w:rPr>
                <w:rFonts w:hint="eastAsia" w:ascii="仿宋_GB2312" w:hAnsi="宋体" w:eastAsia="仿宋_GB2312"/>
                <w:sz w:val="24"/>
              </w:rPr>
              <w:t>招标人</w:t>
            </w:r>
          </w:p>
        </w:tc>
        <w:tc>
          <w:tcPr>
            <w:tcW w:w="4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rPr>
                <w:rFonts w:ascii="仿宋_GB2312" w:hAnsi="宋体" w:eastAsia="仿宋_GB2312"/>
                <w:sz w:val="24"/>
              </w:rPr>
            </w:pPr>
            <w:r>
              <w:rPr>
                <w:rFonts w:hint="eastAsia" w:ascii="仿宋_GB2312" w:hAnsi="宋体" w:eastAsia="仿宋_GB2312"/>
                <w:sz w:val="24"/>
              </w:rPr>
              <w:t>招 标 人：南方石墨新材料有限公司</w:t>
            </w:r>
          </w:p>
          <w:p>
            <w:pPr>
              <w:adjustRightInd w:val="0"/>
              <w:snapToGrid w:val="0"/>
              <w:spacing w:line="560" w:lineRule="exact"/>
              <w:rPr>
                <w:rFonts w:ascii="仿宋_GB2312" w:hAnsi="宋体" w:eastAsia="仿宋_GB2312"/>
                <w:sz w:val="24"/>
              </w:rPr>
            </w:pPr>
            <w:r>
              <w:rPr>
                <w:rFonts w:hint="eastAsia" w:ascii="仿宋_GB2312" w:hAnsi="宋体" w:eastAsia="仿宋_GB2312"/>
                <w:sz w:val="24"/>
              </w:rPr>
              <w:t>地    址：</w:t>
            </w:r>
            <w:r>
              <w:rPr>
                <w:rFonts w:hint="eastAsia" w:ascii="仿宋_GB2312" w:hAnsi="宋体" w:eastAsia="仿宋_GB2312"/>
                <w:sz w:val="24"/>
                <w:u w:val="single"/>
              </w:rPr>
              <w:t>郴州市北湖区鲁塘镇</w:t>
            </w:r>
          </w:p>
          <w:p>
            <w:pPr>
              <w:snapToGrid w:val="0"/>
              <w:spacing w:line="560" w:lineRule="exact"/>
              <w:jc w:val="left"/>
              <w:rPr>
                <w:rFonts w:ascii="仿宋_GB2312" w:hAnsi="宋体" w:eastAsia="仿宋_GB2312"/>
                <w:sz w:val="24"/>
              </w:rPr>
            </w:pPr>
            <w:r>
              <w:rPr>
                <w:rFonts w:hint="eastAsia" w:ascii="仿宋_GB2312" w:hAnsi="宋体" w:eastAsia="仿宋_GB2312"/>
                <w:sz w:val="24"/>
              </w:rPr>
              <w:t xml:space="preserve">联 系 人：     </w:t>
            </w:r>
          </w:p>
          <w:p>
            <w:pPr>
              <w:snapToGrid w:val="0"/>
              <w:spacing w:line="560" w:lineRule="exact"/>
              <w:jc w:val="left"/>
              <w:rPr>
                <w:rFonts w:ascii="仿宋_GB2312" w:hAnsi="宋体" w:eastAsia="仿宋_GB2312"/>
                <w:sz w:val="24"/>
              </w:rPr>
            </w:pPr>
            <w:r>
              <w:rPr>
                <w:rFonts w:hint="eastAsia" w:ascii="仿宋_GB2312" w:hAnsi="宋体" w:eastAsia="仿宋_GB2312"/>
                <w:sz w:val="24"/>
              </w:rPr>
              <w:t xml:space="preserve">           </w:t>
            </w:r>
          </w:p>
        </w:tc>
      </w:tr>
      <w:tr>
        <w:tblPrEx>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jc w:val="center"/>
              <w:textAlignment w:val="baseline"/>
              <w:rPr>
                <w:rFonts w:ascii="仿宋_GB2312" w:hAnsi="宋体" w:eastAsia="仿宋_GB2312"/>
                <w:sz w:val="24"/>
              </w:rPr>
            </w:pPr>
            <w:r>
              <w:rPr>
                <w:rFonts w:hint="eastAsia" w:ascii="仿宋_GB2312" w:hAnsi="宋体" w:eastAsia="仿宋_GB2312"/>
                <w:sz w:val="24"/>
              </w:rPr>
              <w:t>3</w:t>
            </w:r>
          </w:p>
        </w:tc>
        <w:tc>
          <w:tcPr>
            <w:tcW w:w="3635"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jc w:val="center"/>
              <w:textAlignment w:val="baseline"/>
              <w:rPr>
                <w:rFonts w:ascii="仿宋_GB2312" w:hAnsi="宋体" w:eastAsia="仿宋_GB2312"/>
                <w:sz w:val="24"/>
              </w:rPr>
            </w:pPr>
            <w:r>
              <w:rPr>
                <w:rFonts w:hint="eastAsia" w:ascii="仿宋_GB2312" w:hAnsi="宋体" w:eastAsia="仿宋_GB2312"/>
                <w:sz w:val="24"/>
              </w:rPr>
              <w:t>项目名称</w:t>
            </w:r>
          </w:p>
        </w:tc>
        <w:tc>
          <w:tcPr>
            <w:tcW w:w="4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rPr>
                <w:rFonts w:ascii="仿宋_GB2312" w:hAnsi="宋体" w:eastAsia="仿宋_GB2312"/>
                <w:sz w:val="24"/>
              </w:rPr>
            </w:pPr>
            <w:r>
              <w:rPr>
                <w:rFonts w:hint="eastAsia" w:ascii="仿宋_GB2312" w:hAnsi="宋体" w:eastAsia="仿宋_GB2312"/>
                <w:sz w:val="24"/>
              </w:rPr>
              <w:t>南方石墨新材料有限公司浮选尾矿处理项目</w:t>
            </w:r>
          </w:p>
        </w:tc>
      </w:tr>
      <w:tr>
        <w:tblPrEx>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jc w:val="center"/>
              <w:textAlignment w:val="baseline"/>
              <w:rPr>
                <w:rFonts w:ascii="仿宋_GB2312" w:hAnsi="宋体" w:eastAsia="仿宋_GB2312"/>
                <w:sz w:val="24"/>
              </w:rPr>
            </w:pPr>
            <w:r>
              <w:rPr>
                <w:rFonts w:hint="eastAsia" w:ascii="仿宋_GB2312" w:hAnsi="宋体" w:eastAsia="仿宋_GB2312"/>
                <w:sz w:val="24"/>
              </w:rPr>
              <w:t>4</w:t>
            </w:r>
          </w:p>
        </w:tc>
        <w:tc>
          <w:tcPr>
            <w:tcW w:w="3635"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jc w:val="center"/>
              <w:textAlignment w:val="baseline"/>
              <w:rPr>
                <w:rFonts w:ascii="仿宋_GB2312" w:hAnsi="宋体" w:eastAsia="仿宋_GB2312"/>
                <w:sz w:val="24"/>
              </w:rPr>
            </w:pPr>
            <w:r>
              <w:rPr>
                <w:rFonts w:hint="eastAsia" w:ascii="仿宋_GB2312" w:hAnsi="宋体" w:eastAsia="仿宋_GB2312"/>
                <w:sz w:val="24"/>
              </w:rPr>
              <w:t>招标内容</w:t>
            </w:r>
          </w:p>
        </w:tc>
        <w:tc>
          <w:tcPr>
            <w:tcW w:w="4396"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textAlignment w:val="baseline"/>
              <w:rPr>
                <w:rFonts w:ascii="仿宋_GB2312" w:hAnsi="宋体" w:eastAsia="仿宋_GB2312"/>
                <w:sz w:val="24"/>
              </w:rPr>
            </w:pPr>
            <w:r>
              <w:rPr>
                <w:rFonts w:hint="eastAsia" w:ascii="仿宋_GB2312" w:hAnsi="宋体" w:eastAsia="仿宋_GB2312"/>
                <w:sz w:val="24"/>
              </w:rPr>
              <w:t>招标人指定的浮选尾矿</w:t>
            </w:r>
          </w:p>
        </w:tc>
      </w:tr>
      <w:tr>
        <w:tblPrEx>
          <w:tblCellMar>
            <w:top w:w="0" w:type="dxa"/>
            <w:left w:w="108" w:type="dxa"/>
            <w:bottom w:w="0" w:type="dxa"/>
            <w:right w:w="108" w:type="dxa"/>
          </w:tblCellMar>
        </w:tblPrEx>
        <w:trPr>
          <w:trHeight w:val="2576" w:hRule="atLeast"/>
        </w:trPr>
        <w:tc>
          <w:tcPr>
            <w:tcW w:w="1184"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jc w:val="center"/>
              <w:textAlignment w:val="baseline"/>
              <w:rPr>
                <w:rFonts w:ascii="仿宋_GB2312" w:hAnsi="宋体" w:eastAsia="仿宋_GB2312"/>
                <w:sz w:val="24"/>
              </w:rPr>
            </w:pPr>
            <w:r>
              <w:rPr>
                <w:rFonts w:hint="eastAsia" w:ascii="仿宋_GB2312" w:hAnsi="宋体" w:eastAsia="仿宋_GB2312"/>
                <w:sz w:val="24"/>
              </w:rPr>
              <w:t>5</w:t>
            </w:r>
          </w:p>
        </w:tc>
        <w:tc>
          <w:tcPr>
            <w:tcW w:w="3635"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jc w:val="center"/>
              <w:textAlignment w:val="baseline"/>
              <w:rPr>
                <w:rFonts w:ascii="仿宋_GB2312" w:hAnsi="宋体" w:eastAsia="仿宋_GB2312"/>
                <w:sz w:val="24"/>
              </w:rPr>
            </w:pPr>
            <w:r>
              <w:rPr>
                <w:rFonts w:hint="eastAsia" w:ascii="仿宋_GB2312" w:hAnsi="宋体" w:eastAsia="仿宋_GB2312"/>
                <w:sz w:val="24"/>
              </w:rPr>
              <w:t>竞标人应具备承担本招标考核项目的条件和能力要求</w:t>
            </w:r>
          </w:p>
        </w:tc>
        <w:tc>
          <w:tcPr>
            <w:tcW w:w="4396"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rPr>
                <w:rFonts w:ascii="仿宋_GB2312" w:hAnsi="宋体" w:eastAsia="仿宋_GB2312"/>
                <w:sz w:val="24"/>
              </w:rPr>
            </w:pPr>
            <w:r>
              <w:rPr>
                <w:rFonts w:hint="eastAsia" w:ascii="仿宋_GB2312" w:hAnsi="宋体" w:eastAsia="仿宋_GB2312"/>
                <w:sz w:val="24"/>
              </w:rPr>
              <w:t>5.1、竞标人必须具备独立法人资格（注册资本金达￥50万元人民币＜含＞以上）、营业执照、相关资质证明材料，并能提供本单位或税务部门开具的正规发票（合规、合法、有效的发票），无不良经营记录。</w:t>
            </w:r>
          </w:p>
          <w:p>
            <w:pPr>
              <w:snapToGrid w:val="0"/>
              <w:spacing w:line="520" w:lineRule="exact"/>
              <w:rPr>
                <w:rFonts w:ascii="仿宋_GB2312" w:hAnsi="宋体" w:eastAsia="仿宋_GB2312"/>
                <w:sz w:val="24"/>
              </w:rPr>
            </w:pPr>
            <w:r>
              <w:rPr>
                <w:rFonts w:hint="eastAsia" w:ascii="仿宋_GB2312" w:hAnsi="宋体" w:eastAsia="仿宋_GB2312"/>
                <w:sz w:val="24"/>
              </w:rPr>
              <w:t>5.2、竞标人中标后，经公司相关部门认定核对，并办理相应的回收手续，指定浮选尾矿交由中标人管理切割、转运。</w:t>
            </w:r>
          </w:p>
          <w:p>
            <w:pPr>
              <w:snapToGrid w:val="0"/>
              <w:spacing w:line="520" w:lineRule="exact"/>
              <w:rPr>
                <w:rFonts w:ascii="仿宋_GB2312" w:hAnsi="宋体" w:eastAsia="仿宋_GB2312"/>
                <w:sz w:val="24"/>
              </w:rPr>
            </w:pPr>
            <w:r>
              <w:rPr>
                <w:rFonts w:hint="eastAsia" w:ascii="仿宋_GB2312" w:hAnsi="宋体" w:eastAsia="仿宋_GB2312"/>
                <w:sz w:val="24"/>
              </w:rPr>
              <w:t>5.3、关于浮选尾矿处理交接程序：①由公司浮选厂负责组织对全厂需处理的浮选尾矿进行清查盘点，并制定浮选尾矿盘点明细表交由公司财务。②中标人与公司现场交接，由中标人转运。</w:t>
            </w:r>
          </w:p>
        </w:tc>
      </w:tr>
      <w:tr>
        <w:tblPrEx>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jc w:val="center"/>
              <w:textAlignment w:val="baseline"/>
              <w:rPr>
                <w:rFonts w:ascii="仿宋_GB2312" w:hAnsi="宋体" w:eastAsia="仿宋_GB2312"/>
                <w:sz w:val="24"/>
              </w:rPr>
            </w:pPr>
            <w:r>
              <w:rPr>
                <w:rFonts w:hint="eastAsia" w:ascii="仿宋_GB2312" w:hAnsi="宋体" w:eastAsia="仿宋_GB2312"/>
                <w:sz w:val="24"/>
              </w:rPr>
              <w:t>6</w:t>
            </w:r>
          </w:p>
        </w:tc>
        <w:tc>
          <w:tcPr>
            <w:tcW w:w="3635"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jc w:val="center"/>
              <w:textAlignment w:val="baseline"/>
              <w:rPr>
                <w:rFonts w:ascii="仿宋_GB2312" w:hAnsi="宋体" w:eastAsia="仿宋_GB2312"/>
                <w:sz w:val="24"/>
              </w:rPr>
            </w:pPr>
            <w:r>
              <w:rPr>
                <w:rFonts w:hint="eastAsia" w:ascii="仿宋_GB2312" w:hAnsi="宋体" w:eastAsia="仿宋_GB2312"/>
                <w:sz w:val="24"/>
              </w:rPr>
              <w:t>竞标预备会</w:t>
            </w:r>
          </w:p>
        </w:tc>
        <w:tc>
          <w:tcPr>
            <w:tcW w:w="4396" w:type="dxa"/>
            <w:tcBorders>
              <w:top w:val="single" w:color="auto" w:sz="4" w:space="0"/>
              <w:left w:val="single" w:color="auto" w:sz="4" w:space="0"/>
              <w:bottom w:val="single" w:color="auto" w:sz="4" w:space="0"/>
              <w:right w:val="single" w:color="auto" w:sz="4" w:space="0"/>
            </w:tcBorders>
            <w:vAlign w:val="center"/>
          </w:tcPr>
          <w:p>
            <w:pPr>
              <w:pStyle w:val="13"/>
              <w:topLinePunct/>
              <w:adjustRightInd w:val="0"/>
              <w:spacing w:line="520" w:lineRule="exact"/>
              <w:textAlignment w:val="baseline"/>
              <w:rPr>
                <w:rFonts w:ascii="仿宋_GB2312" w:hAnsi="宋体" w:eastAsia="仿宋_GB2312"/>
                <w:szCs w:val="24"/>
              </w:rPr>
            </w:pPr>
            <w:r>
              <w:rPr>
                <w:rFonts w:hint="eastAsia" w:ascii="仿宋_GB2312" w:hAnsi="宋体" w:eastAsia="仿宋_GB2312"/>
                <w:szCs w:val="24"/>
                <w:bdr w:val="single" w:color="auto" w:sz="4" w:space="0"/>
              </w:rPr>
              <w:t>√</w:t>
            </w:r>
            <w:r>
              <w:rPr>
                <w:rFonts w:hint="eastAsia" w:ascii="仿宋_GB2312" w:hAnsi="宋体" w:eastAsia="仿宋_GB2312"/>
                <w:szCs w:val="24"/>
              </w:rPr>
              <w:t xml:space="preserve"> 不召开</w:t>
            </w:r>
          </w:p>
          <w:p>
            <w:pPr>
              <w:adjustRightInd w:val="0"/>
              <w:spacing w:line="520" w:lineRule="exact"/>
              <w:textAlignment w:val="baseline"/>
              <w:rPr>
                <w:rFonts w:ascii="仿宋_GB2312" w:hAnsi="宋体" w:eastAsia="仿宋_GB2312"/>
                <w:sz w:val="24"/>
              </w:rPr>
            </w:pPr>
            <w:r>
              <w:rPr>
                <w:rFonts w:hint="eastAsia" w:ascii="仿宋_GB2312" w:hAnsi="宋体" w:eastAsia="仿宋_GB2312"/>
                <w:sz w:val="24"/>
              </w:rPr>
              <w:t>□召开，召开时间：</w:t>
            </w:r>
          </w:p>
          <w:p>
            <w:pPr>
              <w:adjustRightInd w:val="0"/>
              <w:spacing w:line="520" w:lineRule="exact"/>
              <w:ind w:firstLine="960" w:firstLineChars="400"/>
              <w:textAlignment w:val="baseline"/>
              <w:rPr>
                <w:rFonts w:ascii="仿宋_GB2312" w:hAnsi="宋体" w:eastAsia="仿宋_GB2312"/>
                <w:sz w:val="24"/>
              </w:rPr>
            </w:pPr>
            <w:r>
              <w:rPr>
                <w:rFonts w:hint="eastAsia" w:ascii="仿宋_GB2312" w:hAnsi="宋体" w:eastAsia="仿宋_GB2312"/>
                <w:sz w:val="24"/>
              </w:rPr>
              <w:t>召开地点：</w:t>
            </w:r>
          </w:p>
        </w:tc>
      </w:tr>
      <w:tr>
        <w:tblPrEx>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jc w:val="center"/>
              <w:textAlignment w:val="baseline"/>
              <w:rPr>
                <w:rFonts w:ascii="仿宋_GB2312" w:hAnsi="宋体" w:eastAsia="仿宋_GB2312"/>
                <w:sz w:val="24"/>
              </w:rPr>
            </w:pPr>
            <w:r>
              <w:rPr>
                <w:rFonts w:hint="eastAsia" w:ascii="仿宋_GB2312" w:hAnsi="宋体" w:eastAsia="仿宋_GB2312"/>
                <w:sz w:val="24"/>
              </w:rPr>
              <w:t>7</w:t>
            </w:r>
          </w:p>
        </w:tc>
        <w:tc>
          <w:tcPr>
            <w:tcW w:w="3635"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jc w:val="center"/>
              <w:textAlignment w:val="baseline"/>
              <w:rPr>
                <w:rFonts w:ascii="仿宋_GB2312" w:hAnsi="宋体" w:eastAsia="仿宋_GB2312"/>
                <w:sz w:val="24"/>
              </w:rPr>
            </w:pPr>
            <w:r>
              <w:rPr>
                <w:rFonts w:hint="eastAsia" w:ascii="仿宋_GB2312" w:hAnsi="宋体" w:eastAsia="仿宋_GB2312"/>
                <w:sz w:val="24"/>
              </w:rPr>
              <w:t>竞标人提出问题的截止时间</w:t>
            </w:r>
          </w:p>
        </w:tc>
        <w:tc>
          <w:tcPr>
            <w:tcW w:w="4396" w:type="dxa"/>
            <w:tcBorders>
              <w:top w:val="single" w:color="auto" w:sz="4" w:space="0"/>
              <w:left w:val="single" w:color="auto" w:sz="4" w:space="0"/>
              <w:bottom w:val="single" w:color="auto" w:sz="4" w:space="0"/>
              <w:right w:val="single" w:color="auto" w:sz="4" w:space="0"/>
            </w:tcBorders>
            <w:vAlign w:val="center"/>
          </w:tcPr>
          <w:p>
            <w:pPr>
              <w:pStyle w:val="13"/>
              <w:topLinePunct/>
              <w:adjustRightInd w:val="0"/>
              <w:spacing w:line="520" w:lineRule="exact"/>
              <w:textAlignment w:val="baseline"/>
              <w:rPr>
                <w:rFonts w:ascii="仿宋_GB2312" w:hAnsi="宋体" w:eastAsia="仿宋_GB2312"/>
                <w:szCs w:val="24"/>
                <w:bdr w:val="single" w:color="auto" w:sz="4" w:space="0"/>
              </w:rPr>
            </w:pPr>
            <w:r>
              <w:rPr>
                <w:rFonts w:hint="eastAsia" w:ascii="仿宋_GB2312" w:hAnsi="宋体" w:eastAsia="仿宋_GB2312"/>
                <w:b/>
                <w:bCs/>
                <w:szCs w:val="24"/>
              </w:rPr>
              <w:t>2020年 4 月 6 日 17 时</w:t>
            </w:r>
          </w:p>
        </w:tc>
      </w:tr>
      <w:tr>
        <w:tblPrEx>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jc w:val="center"/>
              <w:textAlignment w:val="baseline"/>
              <w:rPr>
                <w:rFonts w:ascii="仿宋_GB2312" w:hAnsi="宋体" w:eastAsia="仿宋_GB2312"/>
                <w:sz w:val="24"/>
              </w:rPr>
            </w:pPr>
            <w:r>
              <w:rPr>
                <w:rFonts w:hint="eastAsia" w:ascii="仿宋_GB2312" w:hAnsi="宋体" w:eastAsia="仿宋_GB2312"/>
                <w:sz w:val="24"/>
              </w:rPr>
              <w:t>8</w:t>
            </w:r>
          </w:p>
        </w:tc>
        <w:tc>
          <w:tcPr>
            <w:tcW w:w="3635"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jc w:val="center"/>
              <w:textAlignment w:val="baseline"/>
              <w:rPr>
                <w:rFonts w:ascii="仿宋_GB2312" w:hAnsi="宋体" w:eastAsia="仿宋_GB2312"/>
                <w:sz w:val="24"/>
              </w:rPr>
            </w:pPr>
            <w:r>
              <w:rPr>
                <w:rFonts w:hint="eastAsia" w:ascii="仿宋_GB2312" w:hAnsi="宋体" w:eastAsia="仿宋_GB2312"/>
                <w:sz w:val="24"/>
              </w:rPr>
              <w:t>竞标人澄清</w:t>
            </w:r>
          </w:p>
        </w:tc>
        <w:tc>
          <w:tcPr>
            <w:tcW w:w="4396"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textAlignment w:val="baseline"/>
              <w:rPr>
                <w:rFonts w:ascii="仿宋_GB2312" w:hAnsi="宋体" w:eastAsia="仿宋_GB2312"/>
                <w:sz w:val="24"/>
              </w:rPr>
            </w:pPr>
            <w:r>
              <w:rPr>
                <w:rFonts w:hint="eastAsia" w:ascii="仿宋_GB2312" w:hAnsi="宋体" w:eastAsia="仿宋_GB2312"/>
                <w:sz w:val="24"/>
              </w:rPr>
              <w:t>截止时间：2020年4月6日17时前</w:t>
            </w:r>
          </w:p>
          <w:p>
            <w:pPr>
              <w:pStyle w:val="13"/>
              <w:topLinePunct/>
              <w:adjustRightInd w:val="0"/>
              <w:spacing w:line="520" w:lineRule="exact"/>
              <w:textAlignment w:val="baseline"/>
              <w:rPr>
                <w:rFonts w:ascii="仿宋_GB2312" w:hAnsi="宋体" w:eastAsia="仿宋_GB2312"/>
                <w:b/>
                <w:bCs/>
                <w:szCs w:val="24"/>
              </w:rPr>
            </w:pPr>
            <w:r>
              <w:rPr>
                <w:rFonts w:hint="eastAsia" w:ascii="仿宋_GB2312" w:hAnsi="宋体" w:eastAsia="仿宋_GB2312"/>
                <w:szCs w:val="24"/>
              </w:rPr>
              <w:t>文件发送方式：竞标人若对竞标文件有疑问,以书面方式（签字并加盖公章）递交至招标联系人，同时将电子文档发送至招标联系人，招标人将答疑书传真给投标人。</w:t>
            </w:r>
          </w:p>
        </w:tc>
      </w:tr>
      <w:tr>
        <w:tblPrEx>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jc w:val="center"/>
              <w:textAlignment w:val="baseline"/>
              <w:rPr>
                <w:rFonts w:ascii="仿宋_GB2312" w:hAnsi="宋体" w:eastAsia="仿宋_GB2312"/>
                <w:sz w:val="24"/>
              </w:rPr>
            </w:pPr>
            <w:r>
              <w:rPr>
                <w:rFonts w:hint="eastAsia" w:ascii="仿宋_GB2312" w:hAnsi="宋体" w:eastAsia="仿宋_GB2312"/>
                <w:sz w:val="24"/>
              </w:rPr>
              <w:t>9</w:t>
            </w:r>
          </w:p>
        </w:tc>
        <w:tc>
          <w:tcPr>
            <w:tcW w:w="3635"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jc w:val="center"/>
              <w:textAlignment w:val="baseline"/>
              <w:rPr>
                <w:rFonts w:ascii="仿宋_GB2312" w:hAnsi="宋体" w:eastAsia="仿宋_GB2312"/>
                <w:sz w:val="24"/>
              </w:rPr>
            </w:pPr>
            <w:r>
              <w:rPr>
                <w:rFonts w:hint="eastAsia" w:ascii="仿宋_GB2312" w:hAnsi="宋体" w:eastAsia="仿宋_GB2312"/>
                <w:sz w:val="24"/>
              </w:rPr>
              <w:t>偏离</w:t>
            </w:r>
          </w:p>
        </w:tc>
        <w:tc>
          <w:tcPr>
            <w:tcW w:w="4396" w:type="dxa"/>
            <w:tcBorders>
              <w:top w:val="single" w:color="auto" w:sz="4" w:space="0"/>
              <w:left w:val="single" w:color="auto" w:sz="4" w:space="0"/>
              <w:bottom w:val="single" w:color="auto" w:sz="4" w:space="0"/>
              <w:right w:val="single" w:color="auto" w:sz="4" w:space="0"/>
            </w:tcBorders>
            <w:vAlign w:val="center"/>
          </w:tcPr>
          <w:p>
            <w:pPr>
              <w:pStyle w:val="13"/>
              <w:topLinePunct/>
              <w:adjustRightInd w:val="0"/>
              <w:spacing w:line="520" w:lineRule="exact"/>
              <w:textAlignment w:val="baseline"/>
              <w:rPr>
                <w:rFonts w:ascii="仿宋_GB2312" w:hAnsi="宋体" w:eastAsia="仿宋_GB2312"/>
                <w:szCs w:val="24"/>
              </w:rPr>
            </w:pPr>
            <w:r>
              <w:rPr>
                <w:rFonts w:hint="eastAsia" w:ascii="仿宋_GB2312" w:hAnsi="宋体" w:eastAsia="仿宋_GB2312"/>
                <w:szCs w:val="24"/>
                <w:bdr w:val="single" w:color="auto" w:sz="4" w:space="0"/>
              </w:rPr>
              <w:t>√</w:t>
            </w:r>
            <w:r>
              <w:rPr>
                <w:rFonts w:hint="eastAsia" w:ascii="仿宋_GB2312" w:hAnsi="宋体" w:eastAsia="仿宋_GB2312"/>
                <w:szCs w:val="24"/>
              </w:rPr>
              <w:t xml:space="preserve"> 不允许</w:t>
            </w:r>
          </w:p>
          <w:p>
            <w:pPr>
              <w:adjustRightInd w:val="0"/>
              <w:spacing w:line="520" w:lineRule="exact"/>
              <w:textAlignment w:val="baseline"/>
              <w:rPr>
                <w:rFonts w:ascii="仿宋_GB2312" w:hAnsi="宋体" w:eastAsia="仿宋_GB2312"/>
                <w:sz w:val="24"/>
              </w:rPr>
            </w:pPr>
            <w:r>
              <w:rPr>
                <w:rFonts w:hint="eastAsia" w:ascii="仿宋_GB2312" w:hAnsi="宋体" w:eastAsia="仿宋_GB2312"/>
                <w:sz w:val="24"/>
              </w:rPr>
              <w:t>□允许</w:t>
            </w:r>
          </w:p>
        </w:tc>
      </w:tr>
      <w:tr>
        <w:tblPrEx>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jc w:val="center"/>
              <w:textAlignment w:val="baseline"/>
              <w:rPr>
                <w:rFonts w:ascii="仿宋_GB2312" w:hAnsi="宋体" w:eastAsia="仿宋_GB2312"/>
                <w:sz w:val="24"/>
              </w:rPr>
            </w:pPr>
            <w:r>
              <w:rPr>
                <w:rFonts w:hint="eastAsia" w:ascii="仿宋_GB2312" w:hAnsi="宋体" w:eastAsia="仿宋_GB2312"/>
                <w:sz w:val="24"/>
              </w:rPr>
              <w:t>10</w:t>
            </w:r>
          </w:p>
        </w:tc>
        <w:tc>
          <w:tcPr>
            <w:tcW w:w="3635"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jc w:val="center"/>
              <w:textAlignment w:val="baseline"/>
              <w:rPr>
                <w:rFonts w:ascii="仿宋_GB2312" w:hAnsi="宋体" w:eastAsia="仿宋_GB2312"/>
                <w:sz w:val="24"/>
              </w:rPr>
            </w:pPr>
            <w:r>
              <w:rPr>
                <w:rFonts w:hint="eastAsia" w:ascii="仿宋_GB2312" w:hAnsi="宋体" w:eastAsia="仿宋_GB2312"/>
                <w:sz w:val="24"/>
              </w:rPr>
              <w:t>竞标人要求澄清招标文件的截止时间</w:t>
            </w:r>
          </w:p>
        </w:tc>
        <w:tc>
          <w:tcPr>
            <w:tcW w:w="4396"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textAlignment w:val="baseline"/>
              <w:rPr>
                <w:rFonts w:ascii="仿宋_GB2312" w:hAnsi="宋体" w:eastAsia="仿宋_GB2312"/>
                <w:sz w:val="24"/>
              </w:rPr>
            </w:pPr>
            <w:r>
              <w:rPr>
                <w:rFonts w:hint="eastAsia" w:ascii="仿宋_GB2312" w:hAnsi="宋体" w:eastAsia="仿宋_GB2312"/>
                <w:bCs/>
                <w:sz w:val="24"/>
              </w:rPr>
              <w:t xml:space="preserve"> </w:t>
            </w:r>
            <w:r>
              <w:rPr>
                <w:rFonts w:hint="eastAsia" w:ascii="仿宋_GB2312" w:hAnsi="宋体" w:eastAsia="仿宋_GB2312"/>
                <w:sz w:val="24"/>
              </w:rPr>
              <w:t>2020年4月6日17时前</w:t>
            </w:r>
          </w:p>
        </w:tc>
      </w:tr>
      <w:tr>
        <w:tblPrEx>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jc w:val="center"/>
              <w:textAlignment w:val="baseline"/>
              <w:rPr>
                <w:rFonts w:ascii="仿宋_GB2312" w:hAnsi="宋体" w:eastAsia="仿宋_GB2312"/>
                <w:sz w:val="24"/>
              </w:rPr>
            </w:pPr>
            <w:r>
              <w:rPr>
                <w:rFonts w:hint="eastAsia" w:ascii="仿宋_GB2312" w:hAnsi="宋体" w:eastAsia="仿宋_GB2312"/>
                <w:sz w:val="24"/>
              </w:rPr>
              <w:t>11</w:t>
            </w:r>
          </w:p>
        </w:tc>
        <w:tc>
          <w:tcPr>
            <w:tcW w:w="3635"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jc w:val="center"/>
              <w:textAlignment w:val="baseline"/>
              <w:rPr>
                <w:rFonts w:ascii="仿宋_GB2312" w:hAnsi="宋体" w:eastAsia="仿宋_GB2312"/>
                <w:sz w:val="24"/>
              </w:rPr>
            </w:pPr>
            <w:r>
              <w:rPr>
                <w:rFonts w:hint="eastAsia" w:ascii="仿宋_GB2312" w:hAnsi="宋体" w:eastAsia="仿宋_GB2312"/>
                <w:sz w:val="24"/>
              </w:rPr>
              <w:t>竞标截止时间</w:t>
            </w:r>
          </w:p>
        </w:tc>
        <w:tc>
          <w:tcPr>
            <w:tcW w:w="4396"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textAlignment w:val="baseline"/>
              <w:rPr>
                <w:rFonts w:ascii="仿宋_GB2312" w:hAnsi="宋体" w:eastAsia="仿宋_GB2312"/>
                <w:sz w:val="24"/>
              </w:rPr>
            </w:pPr>
            <w:r>
              <w:rPr>
                <w:rFonts w:hint="eastAsia" w:ascii="仿宋_GB2312" w:hAnsi="宋体" w:eastAsia="仿宋_GB2312"/>
                <w:sz w:val="24"/>
              </w:rPr>
              <w:t>2020年4月6日17时</w:t>
            </w:r>
          </w:p>
        </w:tc>
      </w:tr>
      <w:tr>
        <w:tblPrEx>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jc w:val="center"/>
              <w:textAlignment w:val="baseline"/>
              <w:rPr>
                <w:rFonts w:ascii="仿宋_GB2312" w:hAnsi="宋体" w:eastAsia="仿宋_GB2312"/>
                <w:sz w:val="24"/>
              </w:rPr>
            </w:pPr>
            <w:r>
              <w:rPr>
                <w:rFonts w:hint="eastAsia" w:ascii="仿宋_GB2312" w:hAnsi="宋体" w:eastAsia="仿宋_GB2312"/>
                <w:sz w:val="24"/>
              </w:rPr>
              <w:t>12</w:t>
            </w:r>
          </w:p>
        </w:tc>
        <w:tc>
          <w:tcPr>
            <w:tcW w:w="3635"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jc w:val="center"/>
              <w:textAlignment w:val="baseline"/>
              <w:rPr>
                <w:rFonts w:ascii="仿宋_GB2312" w:hAnsi="宋体" w:eastAsia="仿宋_GB2312"/>
                <w:sz w:val="24"/>
              </w:rPr>
            </w:pPr>
            <w:r>
              <w:rPr>
                <w:rFonts w:hint="eastAsia" w:ascii="仿宋_GB2312" w:hAnsi="宋体" w:eastAsia="仿宋_GB2312"/>
                <w:sz w:val="24"/>
              </w:rPr>
              <w:t>竞标人确认收到竞标文件澄清的时间</w:t>
            </w:r>
          </w:p>
        </w:tc>
        <w:tc>
          <w:tcPr>
            <w:tcW w:w="4396"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textAlignment w:val="baseline"/>
              <w:rPr>
                <w:rFonts w:ascii="仿宋_GB2312" w:hAnsi="宋体" w:eastAsia="仿宋_GB2312"/>
                <w:sz w:val="24"/>
              </w:rPr>
            </w:pPr>
            <w:r>
              <w:rPr>
                <w:rFonts w:hint="eastAsia" w:ascii="仿宋_GB2312" w:hAnsi="宋体" w:eastAsia="仿宋_GB2312"/>
                <w:sz w:val="24"/>
              </w:rPr>
              <w:t>2020年4月6日17时前</w:t>
            </w:r>
          </w:p>
        </w:tc>
      </w:tr>
      <w:tr>
        <w:tblPrEx>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jc w:val="center"/>
              <w:textAlignment w:val="baseline"/>
              <w:rPr>
                <w:rFonts w:ascii="仿宋_GB2312" w:hAnsi="宋体" w:eastAsia="仿宋_GB2312"/>
                <w:sz w:val="24"/>
              </w:rPr>
            </w:pPr>
            <w:r>
              <w:rPr>
                <w:rFonts w:hint="eastAsia" w:ascii="仿宋_GB2312" w:hAnsi="宋体" w:eastAsia="仿宋_GB2312"/>
                <w:sz w:val="24"/>
              </w:rPr>
              <w:t>13</w:t>
            </w:r>
          </w:p>
        </w:tc>
        <w:tc>
          <w:tcPr>
            <w:tcW w:w="3635"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jc w:val="center"/>
              <w:textAlignment w:val="baseline"/>
              <w:rPr>
                <w:rFonts w:ascii="仿宋_GB2312" w:hAnsi="宋体" w:eastAsia="仿宋_GB2312"/>
                <w:sz w:val="24"/>
              </w:rPr>
            </w:pPr>
            <w:r>
              <w:rPr>
                <w:rFonts w:hint="eastAsia" w:ascii="仿宋_GB2312" w:hAnsi="宋体" w:eastAsia="仿宋_GB2312"/>
                <w:sz w:val="24"/>
              </w:rPr>
              <w:t>竞标人确认收到招标文件修改的时间</w:t>
            </w:r>
          </w:p>
        </w:tc>
        <w:tc>
          <w:tcPr>
            <w:tcW w:w="4396"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textAlignment w:val="baseline"/>
              <w:rPr>
                <w:rFonts w:ascii="仿宋_GB2312" w:hAnsi="宋体" w:eastAsia="仿宋_GB2312"/>
                <w:sz w:val="24"/>
              </w:rPr>
            </w:pPr>
            <w:r>
              <w:rPr>
                <w:rFonts w:hint="eastAsia" w:ascii="仿宋_GB2312" w:hAnsi="宋体" w:eastAsia="仿宋_GB2312"/>
                <w:sz w:val="24"/>
              </w:rPr>
              <w:t>2020年4月6日17时前</w:t>
            </w:r>
          </w:p>
        </w:tc>
      </w:tr>
      <w:tr>
        <w:tblPrEx>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jc w:val="center"/>
              <w:textAlignment w:val="baseline"/>
              <w:rPr>
                <w:rFonts w:ascii="仿宋_GB2312" w:hAnsi="宋体" w:eastAsia="仿宋_GB2312"/>
                <w:sz w:val="24"/>
              </w:rPr>
            </w:pPr>
            <w:r>
              <w:rPr>
                <w:rFonts w:hint="eastAsia" w:ascii="仿宋_GB2312" w:hAnsi="宋体" w:eastAsia="仿宋_GB2312"/>
                <w:sz w:val="24"/>
              </w:rPr>
              <w:t>14</w:t>
            </w:r>
          </w:p>
        </w:tc>
        <w:tc>
          <w:tcPr>
            <w:tcW w:w="3635"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jc w:val="center"/>
              <w:textAlignment w:val="baseline"/>
              <w:rPr>
                <w:rFonts w:ascii="仿宋_GB2312" w:hAnsi="宋体" w:eastAsia="仿宋_GB2312"/>
                <w:sz w:val="24"/>
              </w:rPr>
            </w:pPr>
            <w:r>
              <w:rPr>
                <w:rFonts w:hint="eastAsia" w:ascii="仿宋_GB2312" w:hAnsi="宋体" w:eastAsia="仿宋_GB2312"/>
                <w:sz w:val="24"/>
              </w:rPr>
              <w:t>竞标有效期</w:t>
            </w:r>
          </w:p>
        </w:tc>
        <w:tc>
          <w:tcPr>
            <w:tcW w:w="4396"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textAlignment w:val="baseline"/>
              <w:rPr>
                <w:rFonts w:ascii="仿宋_GB2312" w:hAnsi="宋体" w:eastAsia="仿宋_GB2312"/>
                <w:sz w:val="24"/>
                <w:u w:val="single"/>
              </w:rPr>
            </w:pPr>
            <w:r>
              <w:rPr>
                <w:rFonts w:hint="eastAsia" w:ascii="仿宋_GB2312" w:hAnsi="宋体" w:eastAsia="仿宋_GB2312"/>
                <w:sz w:val="24"/>
              </w:rPr>
              <w:t>竞标有效期：</w:t>
            </w:r>
            <w:r>
              <w:rPr>
                <w:rFonts w:hint="eastAsia" w:ascii="仿宋_GB2312" w:hAnsi="宋体" w:eastAsia="仿宋_GB2312"/>
                <w:sz w:val="24"/>
                <w:u w:val="single"/>
              </w:rPr>
              <w:t xml:space="preserve"> 7 </w:t>
            </w:r>
            <w:r>
              <w:rPr>
                <w:rFonts w:hint="eastAsia" w:ascii="仿宋_GB2312" w:hAnsi="宋体" w:eastAsia="仿宋_GB2312"/>
                <w:sz w:val="24"/>
              </w:rPr>
              <w:t>天</w:t>
            </w:r>
          </w:p>
        </w:tc>
      </w:tr>
      <w:tr>
        <w:tblPrEx>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jc w:val="center"/>
              <w:textAlignment w:val="baseline"/>
              <w:rPr>
                <w:rFonts w:ascii="仿宋_GB2312" w:hAnsi="宋体" w:eastAsia="仿宋_GB2312"/>
                <w:sz w:val="24"/>
              </w:rPr>
            </w:pPr>
            <w:r>
              <w:rPr>
                <w:rFonts w:hint="eastAsia" w:ascii="仿宋_GB2312" w:hAnsi="宋体" w:eastAsia="仿宋_GB2312"/>
                <w:sz w:val="24"/>
              </w:rPr>
              <w:t>15</w:t>
            </w:r>
          </w:p>
        </w:tc>
        <w:tc>
          <w:tcPr>
            <w:tcW w:w="3635"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jc w:val="center"/>
              <w:textAlignment w:val="baseline"/>
              <w:rPr>
                <w:rFonts w:ascii="仿宋_GB2312" w:hAnsi="宋体" w:eastAsia="仿宋_GB2312"/>
                <w:sz w:val="24"/>
              </w:rPr>
            </w:pPr>
            <w:r>
              <w:rPr>
                <w:rFonts w:hint="eastAsia" w:ascii="仿宋_GB2312" w:hAnsi="宋体" w:eastAsia="仿宋_GB2312"/>
                <w:sz w:val="24"/>
              </w:rPr>
              <w:t>竞标保证金</w:t>
            </w:r>
          </w:p>
        </w:tc>
        <w:tc>
          <w:tcPr>
            <w:tcW w:w="4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20" w:lineRule="exact"/>
              <w:textAlignment w:val="baseline"/>
              <w:rPr>
                <w:rFonts w:ascii="仿宋_GB2312" w:hAnsi="宋体" w:eastAsia="仿宋_GB2312"/>
                <w:sz w:val="24"/>
              </w:rPr>
            </w:pPr>
            <w:r>
              <w:rPr>
                <w:rFonts w:hint="eastAsia" w:ascii="仿宋_GB2312" w:hAnsi="宋体" w:eastAsia="仿宋_GB2312"/>
                <w:sz w:val="24"/>
              </w:rPr>
              <w:t>1.竞标保证金的形式：电汇或银行转账</w:t>
            </w:r>
          </w:p>
          <w:p>
            <w:pPr>
              <w:adjustRightInd w:val="0"/>
              <w:snapToGrid w:val="0"/>
              <w:spacing w:line="520" w:lineRule="exact"/>
              <w:textAlignment w:val="baseline"/>
              <w:rPr>
                <w:rFonts w:ascii="仿宋_GB2312" w:hAnsi="宋体" w:eastAsia="仿宋_GB2312"/>
                <w:sz w:val="24"/>
              </w:rPr>
            </w:pPr>
            <w:r>
              <w:rPr>
                <w:rFonts w:hint="eastAsia" w:ascii="仿宋_GB2312" w:hAnsi="宋体" w:eastAsia="仿宋_GB2312"/>
                <w:sz w:val="24"/>
              </w:rPr>
              <w:t>2．竞标保证金的金额：￥1万元，中标后该保证金转入履约保证金，中标后，如不履约，则不退竞标保证金，未中标者开标后10个工作日内退还保证金。</w:t>
            </w:r>
          </w:p>
          <w:p>
            <w:pPr>
              <w:adjustRightInd w:val="0"/>
              <w:snapToGrid w:val="0"/>
              <w:spacing w:line="520" w:lineRule="exact"/>
              <w:textAlignment w:val="baseline"/>
              <w:rPr>
                <w:rFonts w:ascii="仿宋_GB2312" w:hAnsi="宋体" w:eastAsia="仿宋_GB2312"/>
                <w:sz w:val="24"/>
              </w:rPr>
            </w:pPr>
            <w:r>
              <w:rPr>
                <w:rFonts w:hint="eastAsia" w:ascii="仿宋_GB2312" w:hAnsi="宋体" w:eastAsia="仿宋_GB2312"/>
                <w:sz w:val="24"/>
              </w:rPr>
              <w:t>3．竞标保证金采用电汇或银行转账形式，汇入如下账户：</w:t>
            </w:r>
          </w:p>
          <w:p>
            <w:pPr>
              <w:snapToGrid w:val="0"/>
              <w:spacing w:line="560" w:lineRule="exact"/>
              <w:rPr>
                <w:rFonts w:ascii="仿宋_GB2312" w:hAnsi="宋体" w:eastAsia="仿宋_GB2312"/>
                <w:sz w:val="24"/>
              </w:rPr>
            </w:pPr>
            <w:r>
              <w:rPr>
                <w:rFonts w:hint="eastAsia" w:ascii="仿宋_GB2312" w:hAnsi="宋体" w:eastAsia="仿宋_GB2312"/>
                <w:sz w:val="24"/>
              </w:rPr>
              <w:t>公司名称： 南方石墨新材料有限公司</w:t>
            </w:r>
          </w:p>
          <w:p>
            <w:pPr>
              <w:snapToGrid w:val="0"/>
              <w:spacing w:line="560" w:lineRule="exact"/>
              <w:rPr>
                <w:rFonts w:ascii="仿宋_GB2312" w:hAnsi="宋体" w:eastAsia="仿宋_GB2312"/>
                <w:sz w:val="24"/>
              </w:rPr>
            </w:pPr>
            <w:r>
              <w:rPr>
                <w:rFonts w:hint="eastAsia" w:ascii="仿宋_GB2312" w:hAnsi="宋体" w:eastAsia="仿宋_GB2312"/>
                <w:sz w:val="24"/>
              </w:rPr>
              <w:t>账号：14410154700004049</w:t>
            </w:r>
          </w:p>
          <w:p>
            <w:pPr>
              <w:snapToGrid w:val="0"/>
              <w:spacing w:line="560" w:lineRule="exact"/>
              <w:ind w:left="960" w:hanging="960" w:hangingChars="400"/>
              <w:rPr>
                <w:rFonts w:ascii="仿宋_GB2312" w:hAnsi="宋体" w:eastAsia="仿宋_GB2312"/>
                <w:sz w:val="24"/>
              </w:rPr>
            </w:pPr>
            <w:r>
              <w:rPr>
                <w:rFonts w:hint="eastAsia" w:ascii="仿宋_GB2312" w:hAnsi="宋体" w:eastAsia="仿宋_GB2312"/>
                <w:sz w:val="24"/>
              </w:rPr>
              <w:t>开户行：上海浦东发展银行股份有限公司郴州分行</w:t>
            </w:r>
          </w:p>
          <w:p>
            <w:pPr>
              <w:adjustRightInd w:val="0"/>
              <w:snapToGrid w:val="0"/>
              <w:spacing w:line="520" w:lineRule="exact"/>
              <w:rPr>
                <w:rFonts w:ascii="仿宋_GB2312" w:hAnsi="宋体" w:eastAsia="仿宋_GB2312"/>
                <w:b/>
                <w:sz w:val="24"/>
              </w:rPr>
            </w:pPr>
            <w:r>
              <w:rPr>
                <w:rFonts w:hint="eastAsia" w:ascii="仿宋_GB2312" w:hAnsi="宋体" w:eastAsia="仿宋_GB2312"/>
                <w:sz w:val="24"/>
              </w:rPr>
              <w:t>汇款截止日期：</w:t>
            </w:r>
            <w:r>
              <w:rPr>
                <w:rFonts w:hint="eastAsia" w:ascii="仿宋_GB2312" w:hAnsi="宋体" w:eastAsia="仿宋_GB2312"/>
                <w:sz w:val="24"/>
                <w:u w:val="single"/>
              </w:rPr>
              <w:t xml:space="preserve"> 2020 </w:t>
            </w:r>
            <w:r>
              <w:rPr>
                <w:rFonts w:hint="eastAsia" w:ascii="仿宋_GB2312" w:hAnsi="宋体" w:eastAsia="仿宋_GB2312"/>
                <w:sz w:val="24"/>
              </w:rPr>
              <w:t>年</w:t>
            </w:r>
            <w:r>
              <w:rPr>
                <w:rFonts w:hint="eastAsia" w:ascii="仿宋_GB2312" w:hAnsi="宋体" w:eastAsia="仿宋_GB2312"/>
                <w:sz w:val="24"/>
                <w:u w:val="single"/>
              </w:rPr>
              <w:t xml:space="preserve"> 4 </w:t>
            </w:r>
            <w:r>
              <w:rPr>
                <w:rFonts w:hint="eastAsia" w:ascii="仿宋_GB2312" w:hAnsi="宋体" w:eastAsia="仿宋_GB2312"/>
                <w:sz w:val="24"/>
              </w:rPr>
              <w:t>月</w:t>
            </w:r>
            <w:r>
              <w:rPr>
                <w:rFonts w:hint="eastAsia" w:ascii="仿宋_GB2312" w:hAnsi="宋体" w:eastAsia="仿宋_GB2312"/>
                <w:sz w:val="24"/>
                <w:u w:val="single"/>
              </w:rPr>
              <w:t xml:space="preserve"> 6</w:t>
            </w:r>
            <w:r>
              <w:rPr>
                <w:rFonts w:hint="eastAsia" w:ascii="仿宋_GB2312" w:hAnsi="宋体" w:eastAsia="仿宋_GB2312"/>
                <w:sz w:val="24"/>
              </w:rPr>
              <w:t>日</w:t>
            </w:r>
            <w:r>
              <w:rPr>
                <w:rFonts w:hint="eastAsia" w:ascii="仿宋_GB2312" w:hAnsi="宋体" w:eastAsia="仿宋_GB2312"/>
                <w:sz w:val="24"/>
                <w:u w:val="single"/>
              </w:rPr>
              <w:t xml:space="preserve">    17</w:t>
            </w:r>
            <w:r>
              <w:rPr>
                <w:rFonts w:hint="eastAsia" w:ascii="仿宋_GB2312" w:hAnsi="宋体" w:eastAsia="仿宋_GB2312"/>
                <w:sz w:val="24"/>
              </w:rPr>
              <w:t>点前必须汇到，否则竞标文件将被拒绝。</w:t>
            </w:r>
            <w:r>
              <w:rPr>
                <w:rFonts w:hint="eastAsia" w:ascii="仿宋_GB2312" w:hAnsi="宋体" w:eastAsia="仿宋_GB2312"/>
                <w:b/>
                <w:sz w:val="24"/>
              </w:rPr>
              <w:t>在汇款单据上注明竞标保证金。</w:t>
            </w:r>
          </w:p>
          <w:p>
            <w:pPr>
              <w:adjustRightInd w:val="0"/>
              <w:snapToGrid w:val="0"/>
              <w:spacing w:line="520" w:lineRule="exact"/>
              <w:rPr>
                <w:rFonts w:ascii="仿宋_GB2312" w:hAnsi="宋体" w:eastAsia="仿宋_GB2312"/>
                <w:sz w:val="24"/>
              </w:rPr>
            </w:pPr>
            <w:r>
              <w:rPr>
                <w:rFonts w:hint="eastAsia" w:ascii="仿宋_GB2312" w:hAnsi="宋体" w:eastAsia="仿宋_GB2312"/>
                <w:b/>
                <w:bCs/>
                <w:sz w:val="24"/>
              </w:rPr>
              <w:t>不按规定提交竞标保证金的竞标文件作废标处理。</w:t>
            </w:r>
          </w:p>
        </w:tc>
      </w:tr>
      <w:tr>
        <w:tblPrEx>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jc w:val="center"/>
              <w:textAlignment w:val="baseline"/>
              <w:rPr>
                <w:rFonts w:ascii="仿宋_GB2312" w:hAnsi="宋体" w:eastAsia="仿宋_GB2312"/>
                <w:sz w:val="24"/>
              </w:rPr>
            </w:pPr>
            <w:r>
              <w:rPr>
                <w:rFonts w:hint="eastAsia" w:ascii="仿宋_GB2312" w:hAnsi="宋体" w:eastAsia="仿宋_GB2312"/>
                <w:sz w:val="24"/>
              </w:rPr>
              <w:t>16</w:t>
            </w:r>
          </w:p>
        </w:tc>
        <w:tc>
          <w:tcPr>
            <w:tcW w:w="3635"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jc w:val="center"/>
              <w:textAlignment w:val="baseline"/>
              <w:rPr>
                <w:rFonts w:ascii="仿宋_GB2312" w:hAnsi="宋体" w:eastAsia="仿宋_GB2312"/>
                <w:sz w:val="24"/>
              </w:rPr>
            </w:pPr>
            <w:r>
              <w:rPr>
                <w:rFonts w:hint="eastAsia" w:ascii="仿宋_GB2312" w:hAnsi="宋体" w:eastAsia="仿宋_GB2312"/>
                <w:sz w:val="24"/>
              </w:rPr>
              <w:t>签字或盖章要求</w:t>
            </w:r>
          </w:p>
        </w:tc>
        <w:tc>
          <w:tcPr>
            <w:tcW w:w="4396"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textAlignment w:val="baseline"/>
              <w:rPr>
                <w:rFonts w:ascii="仿宋_GB2312" w:hAnsi="宋体" w:eastAsia="仿宋_GB2312"/>
                <w:sz w:val="24"/>
              </w:rPr>
            </w:pPr>
            <w:r>
              <w:rPr>
                <w:rFonts w:hint="eastAsia" w:ascii="仿宋_GB2312" w:hAnsi="宋体" w:eastAsia="仿宋_GB2312"/>
                <w:sz w:val="24"/>
              </w:rPr>
              <w:t>法定代表人或其委托代理人在相应位置签字并盖单位章</w:t>
            </w:r>
          </w:p>
        </w:tc>
      </w:tr>
      <w:tr>
        <w:tblPrEx>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jc w:val="center"/>
              <w:textAlignment w:val="baseline"/>
              <w:rPr>
                <w:rFonts w:ascii="仿宋_GB2312" w:hAnsi="宋体" w:eastAsia="仿宋_GB2312"/>
                <w:sz w:val="24"/>
              </w:rPr>
            </w:pPr>
            <w:r>
              <w:rPr>
                <w:rFonts w:hint="eastAsia" w:ascii="仿宋_GB2312" w:hAnsi="宋体" w:eastAsia="仿宋_GB2312"/>
                <w:sz w:val="24"/>
              </w:rPr>
              <w:t>17</w:t>
            </w:r>
          </w:p>
        </w:tc>
        <w:tc>
          <w:tcPr>
            <w:tcW w:w="3635"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jc w:val="center"/>
              <w:textAlignment w:val="baseline"/>
              <w:rPr>
                <w:rFonts w:ascii="仿宋_GB2312" w:hAnsi="宋体" w:eastAsia="仿宋_GB2312"/>
                <w:sz w:val="24"/>
              </w:rPr>
            </w:pPr>
            <w:r>
              <w:rPr>
                <w:rFonts w:hint="eastAsia" w:ascii="仿宋_GB2312" w:hAnsi="宋体" w:eastAsia="仿宋_GB2312"/>
                <w:sz w:val="24"/>
              </w:rPr>
              <w:t>竞标文件副本份数</w:t>
            </w:r>
          </w:p>
        </w:tc>
        <w:tc>
          <w:tcPr>
            <w:tcW w:w="4396"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textAlignment w:val="baseline"/>
              <w:rPr>
                <w:rFonts w:ascii="仿宋_GB2312" w:hAnsi="宋体" w:eastAsia="仿宋_GB2312"/>
                <w:sz w:val="24"/>
              </w:rPr>
            </w:pPr>
            <w:r>
              <w:rPr>
                <w:rFonts w:hint="eastAsia" w:ascii="仿宋_GB2312" w:hAnsi="宋体" w:eastAsia="仿宋_GB2312"/>
                <w:sz w:val="24"/>
              </w:rPr>
              <w:t xml:space="preserve"> 竞标文件副</w:t>
            </w:r>
            <w:r>
              <w:rPr>
                <w:rFonts w:hint="eastAsia" w:ascii="仿宋_GB2312" w:hAnsi="宋体" w:eastAsia="仿宋_GB2312"/>
                <w:sz w:val="24"/>
                <w:u w:val="single"/>
              </w:rPr>
              <w:t xml:space="preserve">本一 </w:t>
            </w:r>
            <w:r>
              <w:rPr>
                <w:rFonts w:hint="eastAsia" w:ascii="仿宋_GB2312" w:hAnsi="宋体" w:eastAsia="仿宋_GB2312"/>
                <w:sz w:val="24"/>
              </w:rPr>
              <w:t>份 电子版一份（U盘），其中电子版包括资格审查文件和商务文件所有内容。</w:t>
            </w:r>
          </w:p>
        </w:tc>
      </w:tr>
      <w:tr>
        <w:tblPrEx>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jc w:val="center"/>
              <w:textAlignment w:val="baseline"/>
              <w:rPr>
                <w:rFonts w:ascii="仿宋_GB2312" w:hAnsi="宋体" w:eastAsia="仿宋_GB2312"/>
                <w:sz w:val="24"/>
              </w:rPr>
            </w:pPr>
            <w:r>
              <w:rPr>
                <w:rFonts w:hint="eastAsia" w:ascii="仿宋_GB2312" w:hAnsi="宋体" w:eastAsia="仿宋_GB2312"/>
                <w:sz w:val="24"/>
              </w:rPr>
              <w:t>18</w:t>
            </w:r>
          </w:p>
        </w:tc>
        <w:tc>
          <w:tcPr>
            <w:tcW w:w="3635"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jc w:val="center"/>
              <w:textAlignment w:val="baseline"/>
              <w:rPr>
                <w:rFonts w:ascii="仿宋_GB2312" w:hAnsi="宋体" w:eastAsia="仿宋_GB2312"/>
                <w:sz w:val="24"/>
              </w:rPr>
            </w:pPr>
            <w:r>
              <w:rPr>
                <w:rFonts w:hint="eastAsia" w:ascii="仿宋_GB2312" w:hAnsi="宋体" w:eastAsia="仿宋_GB2312"/>
                <w:sz w:val="24"/>
              </w:rPr>
              <w:t>装订要求</w:t>
            </w:r>
          </w:p>
        </w:tc>
        <w:tc>
          <w:tcPr>
            <w:tcW w:w="4396"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textAlignment w:val="baseline"/>
              <w:rPr>
                <w:rFonts w:ascii="仿宋_GB2312" w:hAnsi="宋体" w:eastAsia="仿宋_GB2312"/>
                <w:sz w:val="24"/>
              </w:rPr>
            </w:pPr>
            <w:r>
              <w:rPr>
                <w:rFonts w:hint="eastAsia" w:ascii="仿宋_GB2312" w:hAnsi="宋体" w:eastAsia="仿宋_GB2312"/>
                <w:sz w:val="24"/>
              </w:rPr>
              <w:t>竞标文件的正本与副本应分别装订成册，采用胶订、平订或线订等，不得采用活页装订方式。</w:t>
            </w:r>
          </w:p>
        </w:tc>
      </w:tr>
      <w:tr>
        <w:tblPrEx>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jc w:val="center"/>
              <w:textAlignment w:val="baseline"/>
              <w:rPr>
                <w:rFonts w:ascii="仿宋_GB2312" w:hAnsi="宋体" w:eastAsia="仿宋_GB2312"/>
                <w:sz w:val="24"/>
              </w:rPr>
            </w:pPr>
            <w:r>
              <w:rPr>
                <w:rFonts w:hint="eastAsia" w:ascii="仿宋_GB2312" w:hAnsi="宋体" w:eastAsia="仿宋_GB2312"/>
                <w:sz w:val="24"/>
              </w:rPr>
              <w:t>19</w:t>
            </w:r>
          </w:p>
        </w:tc>
        <w:tc>
          <w:tcPr>
            <w:tcW w:w="3635"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jc w:val="center"/>
              <w:textAlignment w:val="baseline"/>
              <w:rPr>
                <w:rFonts w:ascii="仿宋_GB2312" w:hAnsi="宋体" w:eastAsia="仿宋_GB2312"/>
                <w:sz w:val="24"/>
              </w:rPr>
            </w:pPr>
            <w:r>
              <w:rPr>
                <w:rFonts w:hint="eastAsia" w:ascii="仿宋_GB2312" w:hAnsi="宋体" w:eastAsia="仿宋_GB2312"/>
                <w:sz w:val="24"/>
              </w:rPr>
              <w:t>封套上写明</w:t>
            </w:r>
          </w:p>
        </w:tc>
        <w:tc>
          <w:tcPr>
            <w:tcW w:w="4396"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ind w:left="240" w:hanging="240" w:hangingChars="100"/>
              <w:textAlignment w:val="baseline"/>
              <w:rPr>
                <w:rFonts w:ascii="仿宋_GB2312" w:hAnsi="宋体" w:eastAsia="仿宋_GB2312"/>
                <w:sz w:val="24"/>
              </w:rPr>
            </w:pPr>
            <w:r>
              <w:rPr>
                <w:rFonts w:hint="eastAsia" w:ascii="仿宋_GB2312" w:hAnsi="宋体" w:eastAsia="仿宋_GB2312"/>
                <w:sz w:val="24"/>
              </w:rPr>
              <w:t>竞标人全称，注明“在</w:t>
            </w:r>
            <w:r>
              <w:rPr>
                <w:rFonts w:hint="eastAsia" w:ascii="仿宋_GB2312" w:hAnsi="宋体" w:eastAsia="仿宋_GB2312"/>
                <w:sz w:val="24"/>
                <w:u w:val="single"/>
              </w:rPr>
              <w:t xml:space="preserve">    </w:t>
            </w:r>
            <w:r>
              <w:rPr>
                <w:rFonts w:hint="eastAsia" w:ascii="仿宋_GB2312" w:hAnsi="宋体" w:eastAsia="仿宋_GB2312"/>
                <w:sz w:val="24"/>
              </w:rPr>
              <w:t>年</w:t>
            </w:r>
            <w:r>
              <w:rPr>
                <w:rFonts w:hint="eastAsia" w:ascii="仿宋_GB2312" w:hAnsi="宋体" w:eastAsia="仿宋_GB2312"/>
                <w:sz w:val="24"/>
                <w:u w:val="single"/>
              </w:rPr>
              <w:t xml:space="preserve"> </w:t>
            </w:r>
            <w:r>
              <w:rPr>
                <w:rFonts w:hint="eastAsia" w:ascii="仿宋_GB2312" w:hAnsi="宋体" w:eastAsia="仿宋_GB2312"/>
                <w:sz w:val="24"/>
              </w:rPr>
              <w:t>月</w:t>
            </w:r>
            <w:r>
              <w:rPr>
                <w:rFonts w:hint="eastAsia" w:ascii="仿宋_GB2312" w:hAnsi="宋体" w:eastAsia="仿宋_GB2312"/>
                <w:sz w:val="24"/>
                <w:u w:val="single"/>
              </w:rPr>
              <w:t xml:space="preserve"> </w:t>
            </w:r>
            <w:r>
              <w:rPr>
                <w:rFonts w:hint="eastAsia" w:ascii="仿宋_GB2312" w:hAnsi="宋体" w:eastAsia="仿宋_GB2312"/>
                <w:sz w:val="24"/>
              </w:rPr>
              <w:t>日</w:t>
            </w:r>
            <w:r>
              <w:rPr>
                <w:rFonts w:hint="eastAsia" w:ascii="仿宋_GB2312" w:hAnsi="宋体" w:eastAsia="仿宋_GB2312"/>
                <w:sz w:val="24"/>
                <w:u w:val="single"/>
              </w:rPr>
              <w:t xml:space="preserve">    </w:t>
            </w:r>
            <w:r>
              <w:rPr>
                <w:rFonts w:hint="eastAsia" w:ascii="仿宋_GB2312" w:hAnsi="宋体" w:eastAsia="仿宋_GB2312"/>
                <w:sz w:val="24"/>
              </w:rPr>
              <w:t>时前不得开启”字样，密封处应有公章或密封章</w:t>
            </w:r>
          </w:p>
        </w:tc>
      </w:tr>
      <w:tr>
        <w:tblPrEx>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jc w:val="center"/>
              <w:textAlignment w:val="baseline"/>
              <w:rPr>
                <w:rFonts w:ascii="仿宋_GB2312" w:hAnsi="宋体" w:eastAsia="仿宋_GB2312"/>
                <w:sz w:val="24"/>
              </w:rPr>
            </w:pPr>
            <w:r>
              <w:rPr>
                <w:rFonts w:hint="eastAsia" w:ascii="仿宋_GB2312" w:hAnsi="宋体" w:eastAsia="仿宋_GB2312"/>
                <w:sz w:val="24"/>
              </w:rPr>
              <w:t>20</w:t>
            </w:r>
          </w:p>
        </w:tc>
        <w:tc>
          <w:tcPr>
            <w:tcW w:w="3635"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jc w:val="center"/>
              <w:textAlignment w:val="baseline"/>
              <w:rPr>
                <w:rFonts w:ascii="仿宋_GB2312" w:hAnsi="宋体" w:eastAsia="仿宋_GB2312"/>
                <w:sz w:val="24"/>
              </w:rPr>
            </w:pPr>
            <w:r>
              <w:rPr>
                <w:rFonts w:hint="eastAsia" w:ascii="仿宋_GB2312" w:hAnsi="宋体" w:eastAsia="仿宋_GB2312"/>
                <w:sz w:val="24"/>
              </w:rPr>
              <w:t>递交竞标文件地点</w:t>
            </w:r>
          </w:p>
        </w:tc>
        <w:tc>
          <w:tcPr>
            <w:tcW w:w="4396"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textAlignment w:val="baseline"/>
              <w:rPr>
                <w:rFonts w:ascii="仿宋_GB2312" w:hAnsi="宋体" w:eastAsia="仿宋_GB2312"/>
                <w:sz w:val="24"/>
              </w:rPr>
            </w:pPr>
            <w:r>
              <w:rPr>
                <w:rFonts w:hint="eastAsia" w:ascii="仿宋_GB2312" w:hAnsi="宋体" w:eastAsia="仿宋_GB2312"/>
                <w:sz w:val="24"/>
              </w:rPr>
              <w:t>郴州市北湖区鲁塘镇南方石墨新材料有限公司</w:t>
            </w:r>
          </w:p>
        </w:tc>
      </w:tr>
      <w:tr>
        <w:tblPrEx>
          <w:tblCellMar>
            <w:top w:w="0" w:type="dxa"/>
            <w:left w:w="108" w:type="dxa"/>
            <w:bottom w:w="0" w:type="dxa"/>
            <w:right w:w="108" w:type="dxa"/>
          </w:tblCellMar>
        </w:tblPrEx>
        <w:trPr>
          <w:trHeight w:val="1265" w:hRule="atLeast"/>
        </w:trPr>
        <w:tc>
          <w:tcPr>
            <w:tcW w:w="1184"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jc w:val="center"/>
              <w:textAlignment w:val="baseline"/>
              <w:rPr>
                <w:rFonts w:ascii="仿宋_GB2312" w:hAnsi="宋体" w:eastAsia="仿宋_GB2312"/>
                <w:sz w:val="24"/>
              </w:rPr>
            </w:pPr>
            <w:r>
              <w:rPr>
                <w:rFonts w:hint="eastAsia" w:ascii="仿宋_GB2312" w:hAnsi="宋体" w:eastAsia="仿宋_GB2312"/>
                <w:sz w:val="24"/>
              </w:rPr>
              <w:t>21</w:t>
            </w:r>
          </w:p>
        </w:tc>
        <w:tc>
          <w:tcPr>
            <w:tcW w:w="3635"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jc w:val="center"/>
              <w:textAlignment w:val="baseline"/>
              <w:rPr>
                <w:rFonts w:ascii="仿宋_GB2312" w:hAnsi="宋体" w:eastAsia="仿宋_GB2312"/>
                <w:sz w:val="24"/>
              </w:rPr>
            </w:pPr>
            <w:r>
              <w:rPr>
                <w:rFonts w:hint="eastAsia" w:ascii="仿宋_GB2312" w:hAnsi="宋体" w:eastAsia="仿宋_GB2312"/>
                <w:sz w:val="24"/>
              </w:rPr>
              <w:t>是否退还竞标文件</w:t>
            </w:r>
          </w:p>
        </w:tc>
        <w:tc>
          <w:tcPr>
            <w:tcW w:w="4396" w:type="dxa"/>
            <w:tcBorders>
              <w:top w:val="single" w:color="auto" w:sz="4" w:space="0"/>
              <w:left w:val="single" w:color="auto" w:sz="4" w:space="0"/>
              <w:bottom w:val="single" w:color="auto" w:sz="4" w:space="0"/>
              <w:right w:val="single" w:color="auto" w:sz="4" w:space="0"/>
            </w:tcBorders>
            <w:vAlign w:val="center"/>
          </w:tcPr>
          <w:p>
            <w:pPr>
              <w:pStyle w:val="13"/>
              <w:topLinePunct/>
              <w:adjustRightInd w:val="0"/>
              <w:spacing w:line="520" w:lineRule="exact"/>
              <w:textAlignment w:val="baseline"/>
              <w:rPr>
                <w:rFonts w:ascii="仿宋_GB2312" w:hAnsi="宋体" w:eastAsia="仿宋_GB2312"/>
                <w:szCs w:val="24"/>
              </w:rPr>
            </w:pPr>
            <w:r>
              <w:rPr>
                <w:rFonts w:hint="eastAsia" w:ascii="仿宋_GB2312" w:hAnsi="宋体" w:eastAsia="仿宋_GB2312"/>
                <w:szCs w:val="24"/>
                <w:bdr w:val="single" w:color="auto" w:sz="4" w:space="0"/>
              </w:rPr>
              <w:t>√</w:t>
            </w:r>
            <w:r>
              <w:rPr>
                <w:rFonts w:hint="eastAsia" w:ascii="仿宋_GB2312" w:hAnsi="宋体" w:eastAsia="仿宋_GB2312"/>
                <w:szCs w:val="24"/>
              </w:rPr>
              <w:t>否</w:t>
            </w:r>
          </w:p>
          <w:p>
            <w:pPr>
              <w:adjustRightInd w:val="0"/>
              <w:spacing w:line="520" w:lineRule="exact"/>
              <w:textAlignment w:val="baseline"/>
              <w:rPr>
                <w:rFonts w:ascii="仿宋_GB2312" w:hAnsi="宋体" w:eastAsia="仿宋_GB2312"/>
                <w:sz w:val="24"/>
              </w:rPr>
            </w:pPr>
            <w:r>
              <w:rPr>
                <w:rFonts w:hint="eastAsia" w:ascii="仿宋_GB2312" w:hAnsi="宋体" w:eastAsia="仿宋_GB2312"/>
                <w:sz w:val="24"/>
              </w:rPr>
              <w:t>□是</w:t>
            </w:r>
          </w:p>
        </w:tc>
      </w:tr>
      <w:tr>
        <w:tblPrEx>
          <w:tblCellMar>
            <w:top w:w="0" w:type="dxa"/>
            <w:left w:w="108" w:type="dxa"/>
            <w:bottom w:w="0" w:type="dxa"/>
            <w:right w:w="108" w:type="dxa"/>
          </w:tblCellMar>
        </w:tblPrEx>
        <w:trPr>
          <w:trHeight w:val="2345" w:hRule="atLeast"/>
        </w:trPr>
        <w:tc>
          <w:tcPr>
            <w:tcW w:w="1184" w:type="dxa"/>
            <w:tcBorders>
              <w:top w:val="single" w:color="auto" w:sz="4" w:space="0"/>
              <w:left w:val="single" w:color="auto" w:sz="4" w:space="0"/>
              <w:right w:val="single" w:color="auto" w:sz="4" w:space="0"/>
            </w:tcBorders>
            <w:vAlign w:val="center"/>
          </w:tcPr>
          <w:p>
            <w:pPr>
              <w:adjustRightInd w:val="0"/>
              <w:spacing w:line="520" w:lineRule="exact"/>
              <w:jc w:val="center"/>
              <w:textAlignment w:val="baseline"/>
              <w:rPr>
                <w:rFonts w:ascii="仿宋_GB2312" w:hAnsi="宋体" w:eastAsia="仿宋_GB2312"/>
                <w:sz w:val="24"/>
              </w:rPr>
            </w:pPr>
            <w:r>
              <w:rPr>
                <w:rFonts w:hint="eastAsia" w:ascii="仿宋_GB2312" w:hAnsi="宋体" w:eastAsia="仿宋_GB2312"/>
                <w:sz w:val="24"/>
              </w:rPr>
              <w:t>22</w:t>
            </w:r>
          </w:p>
        </w:tc>
        <w:tc>
          <w:tcPr>
            <w:tcW w:w="3635" w:type="dxa"/>
            <w:tcBorders>
              <w:top w:val="single" w:color="auto" w:sz="4" w:space="0"/>
              <w:left w:val="single" w:color="auto" w:sz="4" w:space="0"/>
              <w:right w:val="single" w:color="auto" w:sz="4" w:space="0"/>
            </w:tcBorders>
            <w:vAlign w:val="center"/>
          </w:tcPr>
          <w:p>
            <w:pPr>
              <w:adjustRightInd w:val="0"/>
              <w:spacing w:line="520" w:lineRule="exact"/>
              <w:jc w:val="center"/>
              <w:textAlignment w:val="baseline"/>
              <w:rPr>
                <w:rFonts w:ascii="仿宋_GB2312" w:hAnsi="宋体" w:eastAsia="仿宋_GB2312"/>
                <w:sz w:val="24"/>
              </w:rPr>
            </w:pPr>
            <w:r>
              <w:rPr>
                <w:rFonts w:hint="eastAsia" w:ascii="仿宋_GB2312" w:hAnsi="宋体" w:eastAsia="仿宋_GB2312"/>
                <w:sz w:val="24"/>
              </w:rPr>
              <w:t>开标时间和地点</w:t>
            </w:r>
          </w:p>
        </w:tc>
        <w:tc>
          <w:tcPr>
            <w:tcW w:w="4396" w:type="dxa"/>
            <w:tcBorders>
              <w:top w:val="single" w:color="auto" w:sz="4" w:space="0"/>
              <w:left w:val="single" w:color="auto" w:sz="4" w:space="0"/>
              <w:right w:val="single" w:color="auto" w:sz="4" w:space="0"/>
            </w:tcBorders>
            <w:vAlign w:val="center"/>
          </w:tcPr>
          <w:p>
            <w:pPr>
              <w:adjustRightInd w:val="0"/>
              <w:spacing w:line="520" w:lineRule="exact"/>
              <w:textAlignment w:val="baseline"/>
              <w:rPr>
                <w:rFonts w:ascii="仿宋_GB2312" w:hAnsi="宋体" w:eastAsia="仿宋_GB2312"/>
                <w:sz w:val="24"/>
              </w:rPr>
            </w:pPr>
            <w:r>
              <w:rPr>
                <w:rFonts w:hint="eastAsia" w:ascii="仿宋_GB2312" w:hAnsi="宋体" w:eastAsia="仿宋_GB2312"/>
                <w:sz w:val="24"/>
              </w:rPr>
              <w:t>开标时间：2020年4月7日09时30分</w:t>
            </w:r>
          </w:p>
          <w:p>
            <w:pPr>
              <w:adjustRightInd w:val="0"/>
              <w:spacing w:line="520" w:lineRule="exact"/>
              <w:textAlignment w:val="baseline"/>
              <w:rPr>
                <w:rFonts w:ascii="仿宋_GB2312" w:hAnsi="宋体" w:eastAsia="仿宋_GB2312"/>
                <w:sz w:val="24"/>
              </w:rPr>
            </w:pPr>
            <w:r>
              <w:rPr>
                <w:rFonts w:hint="eastAsia" w:ascii="仿宋_GB2312" w:hAnsi="宋体" w:eastAsia="仿宋_GB2312"/>
                <w:sz w:val="24"/>
              </w:rPr>
              <w:t>开标地点：郴州市北湖区鲁塘镇南方石墨新材料有限公司</w:t>
            </w:r>
          </w:p>
        </w:tc>
      </w:tr>
      <w:tr>
        <w:tblPrEx>
          <w:tblCellMar>
            <w:top w:w="0" w:type="dxa"/>
            <w:left w:w="108" w:type="dxa"/>
            <w:bottom w:w="0" w:type="dxa"/>
            <w:right w:w="108" w:type="dxa"/>
          </w:tblCellMar>
        </w:tblPrEx>
        <w:trPr>
          <w:trHeight w:val="880" w:hRule="atLeast"/>
        </w:trPr>
        <w:tc>
          <w:tcPr>
            <w:tcW w:w="1184" w:type="dxa"/>
            <w:tcBorders>
              <w:top w:val="single" w:color="auto" w:sz="4" w:space="0"/>
              <w:left w:val="single" w:color="auto" w:sz="4" w:space="0"/>
              <w:right w:val="single" w:color="auto" w:sz="4" w:space="0"/>
            </w:tcBorders>
            <w:vAlign w:val="center"/>
          </w:tcPr>
          <w:p>
            <w:pPr>
              <w:adjustRightInd w:val="0"/>
              <w:spacing w:line="520" w:lineRule="exact"/>
              <w:jc w:val="center"/>
              <w:textAlignment w:val="baseline"/>
              <w:rPr>
                <w:rFonts w:ascii="仿宋_GB2312" w:hAnsi="宋体" w:eastAsia="仿宋_GB2312"/>
                <w:sz w:val="24"/>
              </w:rPr>
            </w:pPr>
            <w:r>
              <w:rPr>
                <w:rFonts w:hint="eastAsia" w:ascii="仿宋_GB2312" w:hAnsi="宋体" w:eastAsia="仿宋_GB2312"/>
                <w:sz w:val="24"/>
              </w:rPr>
              <w:t>23</w:t>
            </w:r>
          </w:p>
        </w:tc>
        <w:tc>
          <w:tcPr>
            <w:tcW w:w="3635" w:type="dxa"/>
            <w:tcBorders>
              <w:top w:val="single" w:color="auto" w:sz="4" w:space="0"/>
              <w:left w:val="single" w:color="auto" w:sz="4" w:space="0"/>
              <w:right w:val="single" w:color="auto" w:sz="4" w:space="0"/>
            </w:tcBorders>
            <w:vAlign w:val="center"/>
          </w:tcPr>
          <w:p>
            <w:pPr>
              <w:adjustRightInd w:val="0"/>
              <w:spacing w:line="520" w:lineRule="exact"/>
              <w:jc w:val="center"/>
              <w:textAlignment w:val="baseline"/>
              <w:rPr>
                <w:rFonts w:ascii="仿宋_GB2312" w:hAnsi="宋体" w:eastAsia="仿宋_GB2312"/>
                <w:sz w:val="24"/>
              </w:rPr>
            </w:pPr>
            <w:r>
              <w:rPr>
                <w:rFonts w:hint="eastAsia" w:ascii="仿宋_GB2312" w:hAnsi="宋体" w:eastAsia="仿宋_GB2312"/>
                <w:sz w:val="24"/>
              </w:rPr>
              <w:t>开标程序</w:t>
            </w:r>
          </w:p>
        </w:tc>
        <w:tc>
          <w:tcPr>
            <w:tcW w:w="4396" w:type="dxa"/>
            <w:tcBorders>
              <w:top w:val="single" w:color="auto" w:sz="4" w:space="0"/>
              <w:left w:val="single" w:color="auto" w:sz="4" w:space="0"/>
              <w:right w:val="single" w:color="auto" w:sz="4" w:space="0"/>
            </w:tcBorders>
            <w:vAlign w:val="center"/>
          </w:tcPr>
          <w:p>
            <w:pPr>
              <w:adjustRightInd w:val="0"/>
              <w:spacing w:line="520" w:lineRule="exact"/>
              <w:textAlignment w:val="baseline"/>
              <w:rPr>
                <w:rFonts w:ascii="仿宋_GB2312" w:hAnsi="宋体" w:eastAsia="仿宋_GB2312"/>
                <w:sz w:val="24"/>
              </w:rPr>
            </w:pPr>
            <w:r>
              <w:rPr>
                <w:rFonts w:hint="eastAsia" w:ascii="仿宋_GB2312" w:hAnsi="宋体" w:eastAsia="仿宋_GB2312"/>
                <w:sz w:val="24"/>
              </w:rPr>
              <w:t>（1）密封情况检查：竞标人代表、监督人共同检查</w:t>
            </w:r>
          </w:p>
          <w:p>
            <w:pPr>
              <w:adjustRightInd w:val="0"/>
              <w:spacing w:line="520" w:lineRule="exact"/>
              <w:textAlignment w:val="baseline"/>
              <w:rPr>
                <w:rFonts w:ascii="仿宋_GB2312" w:hAnsi="宋体" w:eastAsia="仿宋_GB2312"/>
                <w:sz w:val="24"/>
              </w:rPr>
            </w:pPr>
            <w:r>
              <w:rPr>
                <w:rFonts w:hint="eastAsia" w:ascii="仿宋_GB2312" w:hAnsi="宋体" w:eastAsia="仿宋_GB2312"/>
                <w:sz w:val="24"/>
              </w:rPr>
              <w:t>（2）开标顺序：先递交标书，然后现场开标，3个工作日之内发布竞标结果。</w:t>
            </w:r>
          </w:p>
          <w:p>
            <w:pPr>
              <w:adjustRightInd w:val="0"/>
              <w:spacing w:line="520" w:lineRule="exact"/>
              <w:textAlignment w:val="baseline"/>
              <w:rPr>
                <w:rFonts w:ascii="仿宋_GB2312" w:hAnsi="宋体" w:eastAsia="仿宋_GB2312"/>
                <w:sz w:val="24"/>
              </w:rPr>
            </w:pPr>
            <w:r>
              <w:rPr>
                <w:rFonts w:hint="eastAsia" w:ascii="仿宋_GB2312" w:hAnsi="宋体" w:eastAsia="仿宋_GB2312"/>
                <w:sz w:val="24"/>
              </w:rPr>
              <w:t>（3）竞标人代表是否在开标记录上签字不影响开标记录的效力。</w:t>
            </w:r>
          </w:p>
        </w:tc>
      </w:tr>
      <w:tr>
        <w:tblPrEx>
          <w:tblCellMar>
            <w:top w:w="0" w:type="dxa"/>
            <w:left w:w="108" w:type="dxa"/>
            <w:bottom w:w="0" w:type="dxa"/>
            <w:right w:w="108" w:type="dxa"/>
          </w:tblCellMar>
        </w:tblPrEx>
        <w:trPr>
          <w:trHeight w:val="458" w:hRule="atLeast"/>
        </w:trPr>
        <w:tc>
          <w:tcPr>
            <w:tcW w:w="1184"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jc w:val="center"/>
              <w:textAlignment w:val="baseline"/>
              <w:rPr>
                <w:rFonts w:ascii="仿宋_GB2312" w:hAnsi="宋体" w:eastAsia="仿宋_GB2312"/>
                <w:sz w:val="24"/>
              </w:rPr>
            </w:pPr>
            <w:r>
              <w:rPr>
                <w:rFonts w:hint="eastAsia" w:ascii="仿宋_GB2312" w:hAnsi="宋体" w:eastAsia="仿宋_GB2312"/>
                <w:sz w:val="24"/>
              </w:rPr>
              <w:t>24</w:t>
            </w:r>
          </w:p>
        </w:tc>
        <w:tc>
          <w:tcPr>
            <w:tcW w:w="3635"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jc w:val="center"/>
              <w:textAlignment w:val="baseline"/>
              <w:rPr>
                <w:rFonts w:ascii="仿宋_GB2312" w:hAnsi="宋体" w:eastAsia="仿宋_GB2312"/>
                <w:sz w:val="24"/>
              </w:rPr>
            </w:pPr>
            <w:r>
              <w:rPr>
                <w:rFonts w:hint="eastAsia" w:ascii="仿宋_GB2312" w:hAnsi="宋体" w:eastAsia="仿宋_GB2312"/>
                <w:sz w:val="24"/>
              </w:rPr>
              <w:t>履约担保</w:t>
            </w:r>
          </w:p>
        </w:tc>
        <w:tc>
          <w:tcPr>
            <w:tcW w:w="4396"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textAlignment w:val="baseline"/>
              <w:rPr>
                <w:rFonts w:ascii="仿宋_GB2312" w:hAnsi="宋体" w:eastAsia="仿宋_GB2312"/>
                <w:sz w:val="24"/>
              </w:rPr>
            </w:pPr>
            <w:r>
              <w:rPr>
                <w:rFonts w:hint="eastAsia" w:ascii="仿宋_GB2312" w:hAnsi="宋体" w:eastAsia="仿宋_GB2312"/>
                <w:sz w:val="24"/>
              </w:rPr>
              <w:t>履约担保的形式：履约保证金</w:t>
            </w:r>
          </w:p>
          <w:p>
            <w:pPr>
              <w:adjustRightInd w:val="0"/>
              <w:spacing w:line="520" w:lineRule="exact"/>
              <w:textAlignment w:val="baseline"/>
              <w:rPr>
                <w:rFonts w:ascii="仿宋_GB2312" w:hAnsi="宋体" w:eastAsia="仿宋_GB2312"/>
                <w:sz w:val="24"/>
              </w:rPr>
            </w:pPr>
            <w:r>
              <w:rPr>
                <w:rFonts w:hint="eastAsia" w:ascii="仿宋_GB2312" w:hAnsi="宋体" w:eastAsia="仿宋_GB2312"/>
                <w:sz w:val="24"/>
              </w:rPr>
              <w:t>履约担保的金额：竞标人中标后必须向南方石墨有限公司交纳保证金1万元。合同期满后，该保证金5个工作日退还。</w:t>
            </w:r>
          </w:p>
        </w:tc>
      </w:tr>
    </w:tbl>
    <w:p>
      <w:pPr>
        <w:pStyle w:val="78"/>
        <w:snapToGrid w:val="0"/>
        <w:spacing w:before="0" w:line="560" w:lineRule="exact"/>
        <w:rPr>
          <w:rFonts w:ascii="仿宋_GB2312" w:hAnsi="宋体" w:eastAsia="仿宋_GB2312"/>
          <w:b/>
          <w:szCs w:val="28"/>
        </w:rPr>
      </w:pPr>
    </w:p>
    <w:p>
      <w:pPr>
        <w:pStyle w:val="78"/>
        <w:snapToGrid w:val="0"/>
        <w:spacing w:before="0" w:line="560" w:lineRule="exact"/>
        <w:rPr>
          <w:rFonts w:ascii="仿宋_GB2312" w:hAnsi="宋体" w:eastAsia="仿宋_GB2312"/>
          <w:b/>
          <w:szCs w:val="28"/>
        </w:rPr>
      </w:pPr>
    </w:p>
    <w:p>
      <w:pPr>
        <w:pStyle w:val="78"/>
        <w:snapToGrid w:val="0"/>
        <w:spacing w:before="0" w:line="560" w:lineRule="exact"/>
        <w:rPr>
          <w:rFonts w:ascii="仿宋_GB2312" w:hAnsi="宋体" w:eastAsia="仿宋_GB2312"/>
          <w:b/>
          <w:szCs w:val="28"/>
        </w:rPr>
      </w:pPr>
    </w:p>
    <w:p>
      <w:pPr>
        <w:pStyle w:val="78"/>
        <w:snapToGrid w:val="0"/>
        <w:spacing w:before="0" w:line="560" w:lineRule="exact"/>
        <w:rPr>
          <w:rFonts w:ascii="仿宋_GB2312" w:hAnsi="宋体" w:eastAsia="仿宋_GB2312"/>
          <w:b/>
          <w:szCs w:val="28"/>
        </w:rPr>
      </w:pPr>
    </w:p>
    <w:p>
      <w:pPr>
        <w:pStyle w:val="78"/>
        <w:snapToGrid w:val="0"/>
        <w:spacing w:before="0" w:line="560" w:lineRule="exact"/>
        <w:jc w:val="center"/>
        <w:rPr>
          <w:rFonts w:ascii="仿宋_GB2312" w:hAnsi="宋体" w:eastAsia="仿宋_GB2312"/>
          <w:b/>
          <w:szCs w:val="28"/>
        </w:rPr>
      </w:pPr>
      <w:r>
        <w:rPr>
          <w:rFonts w:hint="eastAsia" w:ascii="仿宋_GB2312" w:hAnsi="宋体" w:eastAsia="仿宋_GB2312"/>
          <w:b/>
          <w:szCs w:val="28"/>
        </w:rPr>
        <w:t>第三章</w:t>
      </w:r>
    </w:p>
    <w:p>
      <w:pPr>
        <w:pStyle w:val="78"/>
        <w:snapToGrid w:val="0"/>
        <w:spacing w:before="0" w:line="560" w:lineRule="exact"/>
        <w:ind w:firstLine="137" w:firstLineChars="49"/>
        <w:rPr>
          <w:rFonts w:ascii="仿宋_GB2312" w:hAnsi="宋体" w:eastAsia="仿宋_GB2312"/>
          <w:b/>
          <w:szCs w:val="28"/>
        </w:rPr>
      </w:pPr>
      <w:r>
        <w:rPr>
          <w:rFonts w:hint="eastAsia" w:ascii="仿宋_GB2312" w:hAnsi="宋体" w:eastAsia="仿宋_GB2312"/>
          <w:b/>
          <w:szCs w:val="28"/>
        </w:rPr>
        <w:t>1、 评标方法</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1.1本次评标采用经评审的综合竞标价法，即通过评审且竞标价最高的竞标人为第一中标候选人和第二备选人的评标方法，但竞标报价成本分析表测算有关各项费用、税费明显偏离实际，或超过招标人认为可以接受价格的除外。</w:t>
      </w:r>
    </w:p>
    <w:p>
      <w:pPr>
        <w:snapToGrid w:val="0"/>
        <w:spacing w:line="560" w:lineRule="exact"/>
        <w:ind w:firstLine="560" w:firstLineChars="200"/>
        <w:rPr>
          <w:rFonts w:ascii="仿宋_GB2312" w:hAnsi="宋体" w:eastAsia="仿宋_GB2312"/>
          <w:b/>
          <w:sz w:val="28"/>
          <w:szCs w:val="28"/>
        </w:rPr>
      </w:pPr>
      <w:r>
        <w:rPr>
          <w:rFonts w:hint="eastAsia" w:ascii="仿宋_GB2312" w:hAnsi="宋体" w:eastAsia="仿宋_GB2312"/>
          <w:b/>
          <w:sz w:val="28"/>
          <w:szCs w:val="28"/>
        </w:rPr>
        <w:t>1.2评标原则：</w:t>
      </w:r>
    </w:p>
    <w:p>
      <w:pPr>
        <w:snapToGrid w:val="0"/>
        <w:spacing w:line="560" w:lineRule="exact"/>
        <w:ind w:firstLine="560" w:firstLineChars="200"/>
        <w:rPr>
          <w:rFonts w:ascii="仿宋_GB2312" w:hAnsi="宋体" w:eastAsia="仿宋_GB2312"/>
          <w:b/>
          <w:bCs/>
          <w:sz w:val="28"/>
          <w:szCs w:val="28"/>
        </w:rPr>
      </w:pPr>
      <w:r>
        <w:rPr>
          <w:rFonts w:hint="eastAsia" w:ascii="仿宋_GB2312" w:hAnsi="宋体" w:eastAsia="仿宋_GB2312"/>
          <w:b/>
          <w:bCs/>
          <w:sz w:val="28"/>
          <w:szCs w:val="28"/>
        </w:rPr>
        <w:t>本次竞标采取资格预审查制，经资格审查为不合格的竞标人的竞标按废标处理，只有通过了资格审查的竞标人方可进行下一步的商务竞标。</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资格审查包括：营业执照、税务登记证、注册资本、财务状况、竞标保证金等相关证明材料。</w:t>
      </w:r>
    </w:p>
    <w:p>
      <w:pPr>
        <w:pStyle w:val="78"/>
        <w:snapToGrid w:val="0"/>
        <w:spacing w:before="0" w:line="560" w:lineRule="exact"/>
        <w:rPr>
          <w:rFonts w:ascii="仿宋_GB2312" w:hAnsi="宋体" w:eastAsia="仿宋_GB2312"/>
          <w:b/>
          <w:szCs w:val="28"/>
        </w:rPr>
      </w:pPr>
      <w:bookmarkStart w:id="14" w:name="_Toc266992580"/>
      <w:bookmarkStart w:id="15" w:name="_Toc238552257"/>
      <w:bookmarkStart w:id="16" w:name="_Toc238797612"/>
      <w:bookmarkStart w:id="17" w:name="_Toc144974557"/>
      <w:bookmarkStart w:id="18" w:name="_Toc152042367"/>
      <w:bookmarkStart w:id="19" w:name="_Toc152045590"/>
      <w:r>
        <w:rPr>
          <w:rFonts w:hint="eastAsia" w:ascii="仿宋_GB2312" w:hAnsi="宋体" w:eastAsia="仿宋_GB2312"/>
          <w:b/>
          <w:szCs w:val="28"/>
        </w:rPr>
        <w:t>2. 评标委员会</w:t>
      </w:r>
      <w:bookmarkEnd w:id="14"/>
      <w:bookmarkEnd w:id="15"/>
      <w:bookmarkEnd w:id="16"/>
    </w:p>
    <w:p>
      <w:pPr>
        <w:pStyle w:val="12"/>
        <w:snapToGrid w:val="0"/>
        <w:spacing w:line="560" w:lineRule="exact"/>
        <w:ind w:firstLine="560" w:firstLineChars="200"/>
        <w:rPr>
          <w:rFonts w:ascii="仿宋_GB2312" w:hAnsi="宋体" w:eastAsia="仿宋_GB2312"/>
          <w:sz w:val="28"/>
          <w:szCs w:val="28"/>
        </w:rPr>
      </w:pPr>
      <w:bookmarkStart w:id="20" w:name="_Toc231982863"/>
      <w:bookmarkStart w:id="21" w:name="_Toc231873569"/>
      <w:r>
        <w:rPr>
          <w:rFonts w:hint="eastAsia" w:ascii="仿宋_GB2312" w:hAnsi="宋体" w:eastAsia="仿宋_GB2312"/>
          <w:sz w:val="28"/>
          <w:szCs w:val="28"/>
        </w:rPr>
        <w:t>招标人依法组建评标委员会，评标委员会由招标人</w:t>
      </w:r>
      <w:r>
        <w:rPr>
          <w:rFonts w:hint="eastAsia" w:ascii="仿宋_GB2312" w:hAnsi="宋体" w:eastAsia="仿宋_GB2312"/>
          <w:sz w:val="28"/>
          <w:szCs w:val="28"/>
          <w:u w:val="single"/>
        </w:rPr>
        <w:t xml:space="preserve"> 5 </w:t>
      </w:r>
      <w:r>
        <w:rPr>
          <w:rFonts w:hint="eastAsia" w:ascii="仿宋_GB2312" w:hAnsi="宋体" w:eastAsia="仿宋_GB2312"/>
          <w:sz w:val="28"/>
          <w:szCs w:val="28"/>
        </w:rPr>
        <w:t>人共同组成。</w:t>
      </w:r>
      <w:bookmarkEnd w:id="20"/>
      <w:bookmarkEnd w:id="21"/>
    </w:p>
    <w:bookmarkEnd w:id="17"/>
    <w:bookmarkEnd w:id="18"/>
    <w:bookmarkEnd w:id="19"/>
    <w:p>
      <w:pPr>
        <w:pStyle w:val="78"/>
        <w:snapToGrid w:val="0"/>
        <w:spacing w:before="0" w:line="560" w:lineRule="exact"/>
        <w:rPr>
          <w:rFonts w:ascii="仿宋_GB2312" w:hAnsi="宋体" w:eastAsia="仿宋_GB2312"/>
          <w:b/>
          <w:szCs w:val="28"/>
        </w:rPr>
      </w:pPr>
      <w:bookmarkStart w:id="22" w:name="_Toc152042370"/>
      <w:bookmarkStart w:id="23" w:name="_Toc144974560"/>
      <w:bookmarkStart w:id="24" w:name="_Toc152045593"/>
      <w:bookmarkStart w:id="25" w:name="_Toc266992581"/>
      <w:bookmarkStart w:id="26" w:name="_Toc238797613"/>
      <w:bookmarkStart w:id="27" w:name="_Toc238552258"/>
      <w:r>
        <w:rPr>
          <w:rFonts w:hint="eastAsia" w:ascii="仿宋_GB2312" w:hAnsi="宋体" w:eastAsia="仿宋_GB2312"/>
          <w:b/>
          <w:szCs w:val="28"/>
        </w:rPr>
        <w:t>3. 评标程序</w:t>
      </w:r>
      <w:bookmarkEnd w:id="22"/>
      <w:bookmarkEnd w:id="23"/>
      <w:bookmarkEnd w:id="24"/>
      <w:r>
        <w:rPr>
          <w:rFonts w:hint="eastAsia" w:ascii="仿宋_GB2312" w:hAnsi="宋体" w:eastAsia="仿宋_GB2312"/>
          <w:b/>
          <w:szCs w:val="28"/>
        </w:rPr>
        <w:t>及评审标准</w:t>
      </w:r>
      <w:bookmarkEnd w:id="25"/>
      <w:bookmarkEnd w:id="26"/>
      <w:bookmarkEnd w:id="27"/>
    </w:p>
    <w:p>
      <w:pPr>
        <w:spacing w:line="560" w:lineRule="exact"/>
        <w:ind w:firstLine="480"/>
        <w:rPr>
          <w:rFonts w:ascii="仿宋_GB2312" w:hAnsi="宋体" w:eastAsia="仿宋_GB2312"/>
          <w:sz w:val="28"/>
          <w:szCs w:val="28"/>
        </w:rPr>
      </w:pPr>
      <w:bookmarkStart w:id="28" w:name="_Toc152042371"/>
      <w:bookmarkStart w:id="29" w:name="_Toc152045594"/>
      <w:bookmarkStart w:id="30" w:name="_Toc231982868"/>
      <w:bookmarkStart w:id="31" w:name="_Toc144974561"/>
      <w:r>
        <w:rPr>
          <w:rFonts w:hint="eastAsia" w:ascii="仿宋_GB2312" w:hAnsi="宋体" w:eastAsia="仿宋_GB2312"/>
          <w:sz w:val="28"/>
          <w:szCs w:val="28"/>
        </w:rPr>
        <w:t>3.1评审标准：见评标办法前附表。</w:t>
      </w:r>
    </w:p>
    <w:p>
      <w:pPr>
        <w:spacing w:line="560" w:lineRule="exact"/>
        <w:ind w:firstLine="480"/>
        <w:rPr>
          <w:rFonts w:ascii="仿宋_GB2312" w:hAnsi="宋体" w:eastAsia="仿宋_GB2312"/>
          <w:sz w:val="28"/>
          <w:szCs w:val="28"/>
        </w:rPr>
      </w:pPr>
      <w:r>
        <w:rPr>
          <w:rFonts w:hint="eastAsia" w:ascii="仿宋_GB2312" w:hAnsi="宋体" w:eastAsia="仿宋_GB2312"/>
          <w:sz w:val="28"/>
          <w:szCs w:val="28"/>
        </w:rPr>
        <w:t>经资格审查不合格的竞标人的竞标按废标处理。只有通过了资格审查的投标人才进行下一步的审查。</w:t>
      </w:r>
    </w:p>
    <w:bookmarkEnd w:id="28"/>
    <w:bookmarkEnd w:id="29"/>
    <w:bookmarkEnd w:id="30"/>
    <w:bookmarkEnd w:id="31"/>
    <w:p>
      <w:pPr>
        <w:snapToGrid w:val="0"/>
        <w:spacing w:line="560" w:lineRule="exact"/>
        <w:ind w:firstLine="560" w:firstLineChars="200"/>
        <w:rPr>
          <w:rFonts w:ascii="仿宋_GB2312" w:hAnsi="宋体" w:eastAsia="仿宋_GB2312"/>
          <w:sz w:val="28"/>
          <w:szCs w:val="28"/>
        </w:rPr>
      </w:pPr>
      <w:bookmarkStart w:id="32" w:name="_Toc152042374"/>
      <w:bookmarkStart w:id="33" w:name="_Toc152045597"/>
      <w:bookmarkStart w:id="34" w:name="_Toc144974564"/>
      <w:r>
        <w:rPr>
          <w:rFonts w:hint="eastAsia" w:ascii="仿宋_GB2312" w:hAnsi="宋体" w:eastAsia="仿宋_GB2312"/>
          <w:sz w:val="28"/>
          <w:szCs w:val="28"/>
        </w:rPr>
        <w:t xml:space="preserve">3.2 </w:t>
      </w:r>
      <w:bookmarkEnd w:id="32"/>
      <w:bookmarkEnd w:id="33"/>
      <w:bookmarkEnd w:id="34"/>
      <w:r>
        <w:rPr>
          <w:rFonts w:hint="eastAsia" w:ascii="仿宋_GB2312" w:hAnsi="宋体" w:eastAsia="仿宋_GB2312"/>
          <w:sz w:val="28"/>
          <w:szCs w:val="28"/>
        </w:rPr>
        <w:t>重大偏差</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重大偏差是指那些对关键条文的偏离、保留或反对的条款，如接受将不能实现招标的目的，或将妨碍与满足竞标文件要求的竞标进行公平比较的偏差。竞标文件有以下情况之一的属重大偏差：</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（1）未按竞标文件规定对竞标函、法定代表人授权委托书、竞标报价表签字并盖章的；</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（2）无法定代表人出具授权委托书的（适用于授权代理人签署投标文件的情况）；</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（3）未按竞标文件要求提交投标保证金，或没有实质性响应竞标文件；</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（4）竞标人递交二份或多份内容不同的竞标文件、或出现折扣报价、或提供虚假资料、或串通投标的；</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（5）出现招标人不能接受的条款和要求的，如付款条件、或拒绝出具履约保证金或降低履约保证金金额的、减少或减轻投标人的责任和义务的；</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（6）竞标文件中出现重大漏项的；</w:t>
      </w:r>
    </w:p>
    <w:p>
      <w:pPr>
        <w:snapToGrid w:val="0"/>
        <w:spacing w:line="560" w:lineRule="exact"/>
        <w:ind w:firstLine="560" w:firstLineChars="200"/>
        <w:rPr>
          <w:rFonts w:ascii="仿宋_GB2312" w:hAnsi="宋体" w:eastAsia="仿宋_GB2312"/>
          <w:b/>
          <w:color w:val="FF0000"/>
          <w:sz w:val="28"/>
          <w:szCs w:val="28"/>
        </w:rPr>
      </w:pPr>
      <w:r>
        <w:rPr>
          <w:rFonts w:hint="eastAsia" w:ascii="仿宋_GB2312" w:hAnsi="宋体" w:eastAsia="仿宋_GB2312"/>
          <w:b/>
          <w:color w:val="FF0000"/>
          <w:sz w:val="28"/>
          <w:szCs w:val="28"/>
        </w:rPr>
        <w:t>投标文件有上述情形之一的，按废标处理。</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3.3、报价及评分办法</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3.3.1、按照公司要求，招标人以公司拟定的基础单价为基准，竞标人报价以</w:t>
      </w:r>
      <w:r>
        <w:rPr>
          <w:rFonts w:hint="eastAsia" w:ascii="仿宋_GB2312" w:hAnsi="宋体" w:eastAsia="仿宋_GB2312"/>
          <w:sz w:val="28"/>
          <w:szCs w:val="28"/>
          <w:u w:val="single"/>
        </w:rPr>
        <w:t xml:space="preserve"> 10 </w:t>
      </w:r>
      <w:r>
        <w:rPr>
          <w:rFonts w:hint="eastAsia" w:ascii="仿宋_GB2312" w:hAnsi="宋体" w:eastAsia="仿宋_GB2312"/>
          <w:sz w:val="28"/>
          <w:szCs w:val="28"/>
        </w:rPr>
        <w:t>元/吨为1分基本单位，每报高</w:t>
      </w:r>
      <w:r>
        <w:rPr>
          <w:rFonts w:hint="eastAsia" w:ascii="仿宋_GB2312" w:hAnsi="宋体" w:eastAsia="仿宋_GB2312"/>
          <w:sz w:val="28"/>
          <w:szCs w:val="28"/>
          <w:u w:val="single"/>
        </w:rPr>
        <w:t xml:space="preserve"> 10 </w:t>
      </w:r>
      <w:r>
        <w:rPr>
          <w:rFonts w:hint="eastAsia" w:ascii="仿宋_GB2312" w:hAnsi="宋体" w:eastAsia="仿宋_GB2312"/>
          <w:sz w:val="28"/>
          <w:szCs w:val="28"/>
        </w:rPr>
        <w:t>元/吨加1分。</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3.3.2、招标人按照综合竞标价法，得分最高为第一中标候选人，得分第二为备选中标候选人，如第一中标候选人放弃中标，则由第二备选中标候选人进入下一阶段竞标程序。</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3.3.3、评分比重，资质审查占比30％，商务评分占比70％.</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3.3.4、南方石墨新材料有限公司竞标项目报价单及评分表见第五章。</w:t>
      </w:r>
    </w:p>
    <w:p>
      <w:pPr>
        <w:snapToGrid w:val="0"/>
        <w:spacing w:line="560" w:lineRule="exact"/>
        <w:rPr>
          <w:rFonts w:ascii="仿宋_GB2312" w:hAnsi="宋体" w:eastAsia="仿宋_GB2312"/>
          <w:sz w:val="28"/>
          <w:szCs w:val="28"/>
        </w:rPr>
      </w:pPr>
    </w:p>
    <w:p>
      <w:pPr>
        <w:snapToGrid w:val="0"/>
        <w:spacing w:line="560" w:lineRule="exact"/>
        <w:rPr>
          <w:rFonts w:ascii="仿宋_GB2312" w:hAnsi="宋体" w:eastAsia="仿宋_GB2312"/>
          <w:sz w:val="28"/>
          <w:szCs w:val="28"/>
        </w:rPr>
      </w:pPr>
    </w:p>
    <w:p>
      <w:pPr>
        <w:snapToGrid w:val="0"/>
        <w:spacing w:line="560" w:lineRule="exact"/>
        <w:rPr>
          <w:rFonts w:ascii="仿宋_GB2312" w:hAnsi="宋体" w:eastAsia="仿宋_GB2312"/>
          <w:sz w:val="28"/>
          <w:szCs w:val="28"/>
        </w:rPr>
      </w:pPr>
    </w:p>
    <w:p>
      <w:pPr>
        <w:snapToGrid w:val="0"/>
        <w:spacing w:line="560" w:lineRule="exact"/>
        <w:rPr>
          <w:rFonts w:ascii="仿宋_GB2312" w:hAnsi="宋体" w:eastAsia="仿宋_GB2312"/>
          <w:sz w:val="28"/>
          <w:szCs w:val="28"/>
        </w:rPr>
      </w:pPr>
    </w:p>
    <w:p>
      <w:pPr>
        <w:snapToGrid w:val="0"/>
        <w:spacing w:line="560" w:lineRule="exact"/>
        <w:rPr>
          <w:rFonts w:ascii="仿宋_GB2312" w:hAnsi="宋体" w:eastAsia="仿宋_GB2312"/>
          <w:sz w:val="28"/>
          <w:szCs w:val="28"/>
        </w:rPr>
      </w:pPr>
    </w:p>
    <w:p>
      <w:pPr>
        <w:snapToGrid w:val="0"/>
        <w:spacing w:line="560" w:lineRule="exact"/>
        <w:rPr>
          <w:rFonts w:ascii="仿宋_GB2312" w:hAnsi="宋体" w:eastAsia="仿宋_GB2312"/>
          <w:sz w:val="28"/>
          <w:szCs w:val="28"/>
        </w:rPr>
      </w:pPr>
    </w:p>
    <w:p>
      <w:pPr>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第四章南方石墨新材料有限公司浮选尾矿处理协议</w:t>
      </w:r>
    </w:p>
    <w:p>
      <w:pPr>
        <w:snapToGrid w:val="0"/>
        <w:spacing w:line="560" w:lineRule="exact"/>
        <w:ind w:right="560" w:firstLine="560" w:firstLineChars="200"/>
        <w:jc w:val="center"/>
        <w:rPr>
          <w:rFonts w:ascii="仿宋_GB2312" w:hAnsi="宋体" w:eastAsia="仿宋_GB2312"/>
          <w:sz w:val="28"/>
          <w:szCs w:val="28"/>
        </w:rPr>
      </w:pPr>
      <w:r>
        <w:rPr>
          <w:rFonts w:hint="eastAsia" w:ascii="仿宋_GB2312" w:hAnsi="宋体" w:eastAsia="仿宋_GB2312"/>
          <w:sz w:val="28"/>
          <w:szCs w:val="28"/>
        </w:rPr>
        <w:t xml:space="preserve">                         协议编号：</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 xml:space="preserve">                                 签订时间   年  月  日</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 xml:space="preserve">                                 签订地点：郴州市北湖区</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甲方：南方石墨新材料有限公司</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乙方：</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经甲乙双方友好协商，现就甲方浮选尾矿处置相关事宜达成如下协议条款，以资遵守：</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一、甲方同意由乙方负责在中标后15日内缴纳货款并及时转运公司浮选厂尾矿仓内尾矿及燃煤飞灰。</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二、甲乙双方商定按本协议附件一《浮选尾矿处理报价清单》标准，按实际过磅计量后的重量（以浮选厂地磅数据为准）据实结算。若遇到市场价格大幅度变化时，经乙方申请，甲乙双方可就回收价格另行协商确定。</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三、尾矿仓内尾矿及燃煤飞灰均由乙方自行备车、装车运离现场，凡乙方在运输过程中出现的包括但不限于自身安全责任或对第三方造成的任何损害均由乙方自行负责，与甲方无关。</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四、付款方式为先款后货，每次清理转运浮选尾矿及燃煤飞灰时，乙方应预交足额货款后开始转运，在甲方指定地点进行过磅称重，再由甲乙双方指定财务人员核实，签字入账。中标后逾期15日未交货款，则甲方有权直接单方解除合同，其交纳的保证金甲方不予退还。</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五、在本协议签订生效之日起3日内，乙方应向甲方以下指定账户支付￥10，000.00元（大写：人民币壹万元整）的保证金，该保证金于协议期限届满后3日内，由甲方无息退还给乙方。</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户名：南方石墨新材料有限公司；</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开户银行：上海浦东发展银行股份有限公司郴州分行；</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帐号：1441 0154 7000 04049。</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六、在本协议履行过程中发生争议，首先应友好协商解决；协商不成的，则任何一方有权向郴州市北湖区人民法院起诉解决。</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七、本协议自甲乙双方签字盖章之日起生效，甲乙双方各执一份，具备同等法律效力；有效期限为一年，自       年   月    日起至  年  月  日止。</w:t>
      </w:r>
    </w:p>
    <w:p>
      <w:pPr>
        <w:snapToGrid w:val="0"/>
        <w:spacing w:line="560" w:lineRule="exact"/>
        <w:ind w:firstLine="560" w:firstLineChars="200"/>
        <w:rPr>
          <w:rFonts w:ascii="仿宋_GB2312" w:hAnsi="宋体" w:eastAsia="仿宋_GB2312"/>
          <w:sz w:val="28"/>
          <w:szCs w:val="28"/>
        </w:rPr>
      </w:pPr>
    </w:p>
    <w:p>
      <w:pPr>
        <w:snapToGrid w:val="0"/>
        <w:spacing w:line="560" w:lineRule="exact"/>
        <w:ind w:firstLine="560" w:firstLineChars="200"/>
        <w:rPr>
          <w:rFonts w:ascii="仿宋_GB2312" w:hAnsi="宋体" w:eastAsia="仿宋_GB2312"/>
          <w:sz w:val="28"/>
          <w:szCs w:val="28"/>
        </w:rPr>
      </w:pPr>
    </w:p>
    <w:p>
      <w:pPr>
        <w:snapToGrid w:val="0"/>
        <w:spacing w:line="560" w:lineRule="exact"/>
        <w:rPr>
          <w:rFonts w:ascii="仿宋_GB2312" w:hAnsi="宋体" w:eastAsia="仿宋_GB2312"/>
          <w:sz w:val="28"/>
          <w:szCs w:val="28"/>
        </w:rPr>
      </w:pPr>
    </w:p>
    <w:p>
      <w:pPr>
        <w:snapToGrid w:val="0"/>
        <w:spacing w:line="560" w:lineRule="exact"/>
        <w:ind w:firstLine="560" w:firstLineChars="200"/>
        <w:rPr>
          <w:rFonts w:ascii="仿宋_GB2312" w:hAnsi="宋体" w:eastAsia="仿宋_GB2312"/>
          <w:sz w:val="28"/>
          <w:szCs w:val="28"/>
        </w:rPr>
      </w:pP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甲方：南方石墨新材料有限公司   乙方：</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授权代表：                     授权代表：</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 xml:space="preserve">                   年  月  日               年  月  日</w:t>
      </w:r>
    </w:p>
    <w:p>
      <w:pPr>
        <w:snapToGrid w:val="0"/>
        <w:spacing w:line="560" w:lineRule="exact"/>
        <w:ind w:firstLine="560" w:firstLineChars="200"/>
        <w:rPr>
          <w:rFonts w:ascii="仿宋_GB2312" w:hAnsi="宋体" w:eastAsia="仿宋_GB2312"/>
          <w:sz w:val="28"/>
          <w:szCs w:val="28"/>
        </w:rPr>
      </w:pPr>
    </w:p>
    <w:p>
      <w:pPr>
        <w:snapToGrid w:val="0"/>
        <w:spacing w:line="560" w:lineRule="exact"/>
        <w:ind w:firstLine="560" w:firstLineChars="200"/>
        <w:rPr>
          <w:rFonts w:ascii="仿宋_GB2312" w:hAnsi="宋体" w:eastAsia="仿宋_GB2312"/>
          <w:sz w:val="28"/>
          <w:szCs w:val="28"/>
        </w:rPr>
      </w:pPr>
    </w:p>
    <w:p>
      <w:pPr>
        <w:snapToGrid w:val="0"/>
        <w:spacing w:line="560" w:lineRule="exact"/>
        <w:ind w:firstLine="560" w:firstLineChars="200"/>
        <w:rPr>
          <w:rFonts w:ascii="仿宋_GB2312" w:hAnsi="宋体" w:eastAsia="仿宋_GB2312"/>
          <w:sz w:val="28"/>
          <w:szCs w:val="28"/>
        </w:rPr>
      </w:pPr>
    </w:p>
    <w:p>
      <w:pPr>
        <w:snapToGrid w:val="0"/>
        <w:spacing w:line="560" w:lineRule="exact"/>
        <w:ind w:firstLine="560" w:firstLineChars="200"/>
        <w:rPr>
          <w:rFonts w:ascii="仿宋_GB2312" w:hAnsi="宋体" w:eastAsia="仿宋_GB2312"/>
          <w:sz w:val="28"/>
          <w:szCs w:val="28"/>
        </w:rPr>
      </w:pPr>
    </w:p>
    <w:p>
      <w:pPr>
        <w:snapToGrid w:val="0"/>
        <w:spacing w:line="560" w:lineRule="exact"/>
        <w:ind w:firstLine="560" w:firstLineChars="200"/>
        <w:rPr>
          <w:rFonts w:ascii="仿宋_GB2312" w:hAnsi="宋体" w:eastAsia="仿宋_GB2312"/>
          <w:sz w:val="28"/>
          <w:szCs w:val="28"/>
        </w:rPr>
      </w:pPr>
    </w:p>
    <w:p>
      <w:pPr>
        <w:snapToGrid w:val="0"/>
        <w:spacing w:line="560" w:lineRule="exact"/>
        <w:ind w:firstLine="560" w:firstLineChars="200"/>
        <w:rPr>
          <w:rFonts w:ascii="仿宋_GB2312" w:hAnsi="宋体" w:eastAsia="仿宋_GB2312"/>
          <w:sz w:val="28"/>
          <w:szCs w:val="28"/>
        </w:rPr>
      </w:pPr>
    </w:p>
    <w:p>
      <w:pPr>
        <w:snapToGrid w:val="0"/>
        <w:spacing w:line="560" w:lineRule="exact"/>
        <w:jc w:val="center"/>
        <w:rPr>
          <w:rFonts w:ascii="仿宋_GB2312" w:eastAsia="仿宋_GB2312"/>
          <w:sz w:val="28"/>
          <w:szCs w:val="28"/>
        </w:rPr>
      </w:pPr>
      <w:r>
        <w:rPr>
          <w:rFonts w:hint="eastAsia" w:ascii="仿宋_GB2312" w:eastAsia="仿宋_GB2312"/>
          <w:sz w:val="28"/>
          <w:szCs w:val="28"/>
        </w:rPr>
        <w:t>第五章  竞标报价表</w:t>
      </w:r>
    </w:p>
    <w:p>
      <w:pPr>
        <w:snapToGrid w:val="0"/>
        <w:spacing w:line="560" w:lineRule="exact"/>
        <w:jc w:val="center"/>
        <w:rPr>
          <w:rFonts w:ascii="仿宋_GB2312" w:eastAsia="仿宋_GB2312"/>
          <w:sz w:val="28"/>
          <w:szCs w:val="28"/>
        </w:rPr>
      </w:pPr>
      <w:r>
        <w:rPr>
          <w:rFonts w:hint="eastAsia" w:ascii="仿宋_GB2312" w:eastAsia="仿宋_GB2312"/>
          <w:sz w:val="28"/>
          <w:szCs w:val="28"/>
        </w:rPr>
        <w:t>竞标报价表（一次报价）</w:t>
      </w:r>
    </w:p>
    <w:tbl>
      <w:tblPr>
        <w:tblStyle w:val="28"/>
        <w:tblW w:w="95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9"/>
        <w:gridCol w:w="1814"/>
        <w:gridCol w:w="1371"/>
        <w:gridCol w:w="3168"/>
        <w:gridCol w:w="1418"/>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9" w:type="dxa"/>
            <w:vAlign w:val="center"/>
          </w:tcPr>
          <w:p>
            <w:pPr>
              <w:snapToGrid w:val="0"/>
              <w:spacing w:line="560" w:lineRule="exact"/>
              <w:jc w:val="center"/>
              <w:rPr>
                <w:rFonts w:ascii="仿宋_GB2312" w:eastAsia="仿宋_GB2312"/>
                <w:sz w:val="24"/>
              </w:rPr>
            </w:pPr>
            <w:r>
              <w:rPr>
                <w:rFonts w:hint="eastAsia" w:ascii="仿宋_GB2312" w:eastAsia="仿宋_GB2312"/>
                <w:sz w:val="24"/>
              </w:rPr>
              <w:t>序号</w:t>
            </w:r>
          </w:p>
        </w:tc>
        <w:tc>
          <w:tcPr>
            <w:tcW w:w="1814" w:type="dxa"/>
            <w:vAlign w:val="center"/>
          </w:tcPr>
          <w:p>
            <w:pPr>
              <w:snapToGrid w:val="0"/>
              <w:spacing w:line="560" w:lineRule="exact"/>
              <w:jc w:val="center"/>
              <w:rPr>
                <w:rFonts w:ascii="仿宋_GB2312" w:eastAsia="仿宋_GB2312"/>
                <w:sz w:val="24"/>
              </w:rPr>
            </w:pPr>
            <w:r>
              <w:rPr>
                <w:rFonts w:hint="eastAsia" w:ascii="仿宋_GB2312" w:eastAsia="仿宋_GB2312"/>
                <w:sz w:val="24"/>
              </w:rPr>
              <w:t>处理尾矿类别</w:t>
            </w:r>
          </w:p>
        </w:tc>
        <w:tc>
          <w:tcPr>
            <w:tcW w:w="1371" w:type="dxa"/>
            <w:vAlign w:val="center"/>
          </w:tcPr>
          <w:p>
            <w:pPr>
              <w:snapToGrid w:val="0"/>
              <w:spacing w:line="560" w:lineRule="exact"/>
              <w:jc w:val="center"/>
              <w:rPr>
                <w:rFonts w:ascii="仿宋_GB2312" w:eastAsia="仿宋_GB2312"/>
                <w:sz w:val="24"/>
              </w:rPr>
            </w:pPr>
            <w:r>
              <w:rPr>
                <w:rFonts w:hint="eastAsia" w:ascii="仿宋_GB2312" w:eastAsia="仿宋_GB2312"/>
                <w:sz w:val="24"/>
              </w:rPr>
              <w:t>初步估计重量</w:t>
            </w:r>
          </w:p>
        </w:tc>
        <w:tc>
          <w:tcPr>
            <w:tcW w:w="3168" w:type="dxa"/>
          </w:tcPr>
          <w:p>
            <w:pPr>
              <w:snapToGrid w:val="0"/>
              <w:spacing w:line="560" w:lineRule="exact"/>
              <w:jc w:val="center"/>
              <w:rPr>
                <w:rFonts w:ascii="仿宋_GB2312" w:eastAsia="仿宋_GB2312"/>
                <w:sz w:val="24"/>
              </w:rPr>
            </w:pPr>
            <w:r>
              <w:rPr>
                <w:rFonts w:hint="eastAsia" w:ascii="仿宋_GB2312" w:eastAsia="仿宋_GB2312"/>
                <w:sz w:val="24"/>
              </w:rPr>
              <w:t>产品品质</w:t>
            </w:r>
          </w:p>
        </w:tc>
        <w:tc>
          <w:tcPr>
            <w:tcW w:w="1418" w:type="dxa"/>
            <w:vAlign w:val="center"/>
          </w:tcPr>
          <w:p>
            <w:pPr>
              <w:snapToGrid w:val="0"/>
              <w:spacing w:line="560" w:lineRule="exact"/>
              <w:jc w:val="center"/>
              <w:rPr>
                <w:rFonts w:ascii="仿宋_GB2312" w:eastAsia="仿宋_GB2312"/>
                <w:sz w:val="24"/>
              </w:rPr>
            </w:pPr>
            <w:r>
              <w:rPr>
                <w:rFonts w:hint="eastAsia" w:ascii="仿宋_GB2312" w:eastAsia="仿宋_GB2312"/>
                <w:sz w:val="24"/>
              </w:rPr>
              <w:t>竞标底价（元/吨）</w:t>
            </w:r>
          </w:p>
        </w:tc>
        <w:tc>
          <w:tcPr>
            <w:tcW w:w="1260" w:type="dxa"/>
            <w:vAlign w:val="center"/>
          </w:tcPr>
          <w:p>
            <w:pPr>
              <w:snapToGrid w:val="0"/>
              <w:spacing w:line="560" w:lineRule="exact"/>
              <w:jc w:val="center"/>
              <w:rPr>
                <w:rFonts w:ascii="仿宋_GB2312" w:eastAsia="仿宋_GB2312"/>
                <w:sz w:val="24"/>
              </w:rPr>
            </w:pPr>
            <w:r>
              <w:rPr>
                <w:rFonts w:hint="eastAsia" w:ascii="仿宋_GB2312" w:eastAsia="仿宋_GB2312"/>
                <w:sz w:val="24"/>
              </w:rPr>
              <w:t>竞标价（元/吨）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9" w:type="dxa"/>
            <w:vAlign w:val="center"/>
          </w:tcPr>
          <w:p>
            <w:pPr>
              <w:snapToGrid w:val="0"/>
              <w:spacing w:line="560" w:lineRule="exact"/>
              <w:jc w:val="center"/>
              <w:rPr>
                <w:rFonts w:ascii="仿宋_GB2312" w:eastAsia="仿宋_GB2312"/>
                <w:sz w:val="24"/>
              </w:rPr>
            </w:pPr>
            <w:r>
              <w:rPr>
                <w:rFonts w:hint="eastAsia" w:ascii="仿宋_GB2312" w:eastAsia="仿宋_GB2312"/>
                <w:sz w:val="24"/>
              </w:rPr>
              <w:t>1</w:t>
            </w:r>
          </w:p>
        </w:tc>
        <w:tc>
          <w:tcPr>
            <w:tcW w:w="1814" w:type="dxa"/>
            <w:vAlign w:val="center"/>
          </w:tcPr>
          <w:p>
            <w:pPr>
              <w:snapToGrid w:val="0"/>
              <w:spacing w:line="560" w:lineRule="exact"/>
              <w:jc w:val="center"/>
              <w:rPr>
                <w:rFonts w:ascii="仿宋_GB2312" w:eastAsia="仿宋_GB2312"/>
                <w:sz w:val="24"/>
              </w:rPr>
            </w:pPr>
            <w:r>
              <w:rPr>
                <w:rFonts w:hint="eastAsia" w:ascii="仿宋_GB2312" w:eastAsia="仿宋_GB2312"/>
                <w:sz w:val="24"/>
              </w:rPr>
              <w:t>浮选尾矿</w:t>
            </w:r>
          </w:p>
        </w:tc>
        <w:tc>
          <w:tcPr>
            <w:tcW w:w="1371" w:type="dxa"/>
            <w:vAlign w:val="center"/>
          </w:tcPr>
          <w:p>
            <w:pPr>
              <w:snapToGrid w:val="0"/>
              <w:spacing w:line="560" w:lineRule="exact"/>
              <w:jc w:val="center"/>
              <w:rPr>
                <w:rFonts w:ascii="仿宋_GB2312" w:eastAsia="仿宋_GB2312"/>
                <w:sz w:val="24"/>
              </w:rPr>
            </w:pPr>
            <w:r>
              <w:rPr>
                <w:rFonts w:hint="eastAsia" w:ascii="仿宋_GB2312" w:eastAsia="仿宋_GB2312"/>
                <w:sz w:val="24"/>
              </w:rPr>
              <w:t>3000</w:t>
            </w:r>
          </w:p>
        </w:tc>
        <w:tc>
          <w:tcPr>
            <w:tcW w:w="3168" w:type="dxa"/>
          </w:tcPr>
          <w:p>
            <w:pPr>
              <w:snapToGrid w:val="0"/>
              <w:spacing w:line="560" w:lineRule="exact"/>
              <w:jc w:val="center"/>
              <w:rPr>
                <w:rFonts w:ascii="仿宋_GB2312" w:eastAsia="仿宋_GB2312"/>
                <w:sz w:val="24"/>
              </w:rPr>
            </w:pPr>
            <w:r>
              <w:rPr>
                <w:rFonts w:hint="eastAsia" w:ascii="仿宋_GB2312" w:eastAsia="仿宋_GB2312"/>
                <w:sz w:val="24"/>
              </w:rPr>
              <w:t>固定碳20－37%，水份12%</w:t>
            </w:r>
          </w:p>
        </w:tc>
        <w:tc>
          <w:tcPr>
            <w:tcW w:w="1418" w:type="dxa"/>
            <w:vAlign w:val="center"/>
          </w:tcPr>
          <w:p>
            <w:pPr>
              <w:snapToGrid w:val="0"/>
              <w:spacing w:line="560" w:lineRule="exact"/>
              <w:jc w:val="center"/>
              <w:rPr>
                <w:rFonts w:ascii="仿宋_GB2312" w:eastAsia="仿宋_GB2312"/>
                <w:sz w:val="24"/>
              </w:rPr>
            </w:pPr>
            <w:r>
              <w:rPr>
                <w:rFonts w:hint="eastAsia" w:ascii="仿宋_GB2312" w:eastAsia="仿宋_GB2312"/>
                <w:sz w:val="24"/>
              </w:rPr>
              <w:t>200</w:t>
            </w:r>
          </w:p>
        </w:tc>
        <w:tc>
          <w:tcPr>
            <w:tcW w:w="1260" w:type="dxa"/>
            <w:vAlign w:val="center"/>
          </w:tcPr>
          <w:p>
            <w:pPr>
              <w:snapToGrid w:val="0"/>
              <w:spacing w:line="5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9" w:type="dxa"/>
            <w:vAlign w:val="center"/>
          </w:tcPr>
          <w:p>
            <w:pPr>
              <w:snapToGrid w:val="0"/>
              <w:spacing w:line="560" w:lineRule="exact"/>
              <w:jc w:val="center"/>
              <w:rPr>
                <w:rFonts w:ascii="仿宋_GB2312" w:eastAsia="仿宋_GB2312"/>
                <w:sz w:val="24"/>
              </w:rPr>
            </w:pPr>
            <w:r>
              <w:rPr>
                <w:rFonts w:hint="eastAsia" w:ascii="仿宋_GB2312" w:eastAsia="仿宋_GB2312"/>
                <w:sz w:val="24"/>
              </w:rPr>
              <w:t>2</w:t>
            </w:r>
          </w:p>
        </w:tc>
        <w:tc>
          <w:tcPr>
            <w:tcW w:w="1814" w:type="dxa"/>
            <w:vAlign w:val="center"/>
          </w:tcPr>
          <w:p>
            <w:pPr>
              <w:snapToGrid w:val="0"/>
              <w:spacing w:line="560" w:lineRule="exact"/>
              <w:jc w:val="center"/>
              <w:rPr>
                <w:rFonts w:ascii="仿宋_GB2312" w:eastAsia="仿宋_GB2312"/>
                <w:sz w:val="24"/>
              </w:rPr>
            </w:pPr>
            <w:r>
              <w:rPr>
                <w:rFonts w:hint="eastAsia" w:ascii="仿宋_GB2312" w:eastAsia="仿宋_GB2312"/>
                <w:sz w:val="24"/>
              </w:rPr>
              <w:t>燃煤飞灰</w:t>
            </w:r>
          </w:p>
        </w:tc>
        <w:tc>
          <w:tcPr>
            <w:tcW w:w="1371" w:type="dxa"/>
            <w:vAlign w:val="center"/>
          </w:tcPr>
          <w:p>
            <w:pPr>
              <w:snapToGrid w:val="0"/>
              <w:spacing w:line="560" w:lineRule="exact"/>
              <w:jc w:val="center"/>
              <w:rPr>
                <w:rFonts w:ascii="仿宋_GB2312" w:eastAsia="仿宋_GB2312"/>
                <w:sz w:val="24"/>
              </w:rPr>
            </w:pPr>
            <w:r>
              <w:rPr>
                <w:rFonts w:hint="eastAsia" w:ascii="仿宋_GB2312" w:eastAsia="仿宋_GB2312"/>
                <w:sz w:val="24"/>
              </w:rPr>
              <w:t>150</w:t>
            </w:r>
          </w:p>
        </w:tc>
        <w:tc>
          <w:tcPr>
            <w:tcW w:w="3168" w:type="dxa"/>
          </w:tcPr>
          <w:p>
            <w:pPr>
              <w:snapToGrid w:val="0"/>
              <w:spacing w:line="560" w:lineRule="exact"/>
              <w:jc w:val="center"/>
              <w:rPr>
                <w:rFonts w:ascii="仿宋_GB2312" w:eastAsia="仿宋_GB2312"/>
                <w:sz w:val="24"/>
              </w:rPr>
            </w:pPr>
            <w:r>
              <w:rPr>
                <w:rFonts w:hint="eastAsia" w:ascii="仿宋_GB2312" w:eastAsia="仿宋_GB2312"/>
                <w:sz w:val="24"/>
              </w:rPr>
              <w:t>固定碳20－42%，水份5%</w:t>
            </w:r>
          </w:p>
        </w:tc>
        <w:tc>
          <w:tcPr>
            <w:tcW w:w="1418" w:type="dxa"/>
            <w:vAlign w:val="center"/>
          </w:tcPr>
          <w:p>
            <w:pPr>
              <w:snapToGrid w:val="0"/>
              <w:spacing w:line="560" w:lineRule="exact"/>
              <w:jc w:val="center"/>
              <w:rPr>
                <w:rFonts w:ascii="仿宋_GB2312" w:eastAsia="仿宋_GB2312"/>
                <w:sz w:val="24"/>
              </w:rPr>
            </w:pPr>
            <w:r>
              <w:rPr>
                <w:rFonts w:hint="eastAsia" w:ascii="仿宋_GB2312" w:eastAsia="仿宋_GB2312"/>
                <w:sz w:val="24"/>
              </w:rPr>
              <w:t>220</w:t>
            </w:r>
          </w:p>
        </w:tc>
        <w:tc>
          <w:tcPr>
            <w:tcW w:w="1260" w:type="dxa"/>
            <w:vAlign w:val="center"/>
          </w:tcPr>
          <w:p>
            <w:pPr>
              <w:snapToGrid w:val="0"/>
              <w:spacing w:line="560" w:lineRule="exact"/>
              <w:jc w:val="center"/>
              <w:rPr>
                <w:rFonts w:ascii="仿宋_GB2312" w:eastAsia="仿宋_GB2312"/>
                <w:sz w:val="24"/>
              </w:rPr>
            </w:pPr>
          </w:p>
        </w:tc>
      </w:tr>
    </w:tbl>
    <w:p>
      <w:pPr>
        <w:snapToGrid w:val="0"/>
        <w:spacing w:line="560" w:lineRule="exact"/>
        <w:rPr>
          <w:rFonts w:ascii="仿宋_GB2312" w:hAnsi="宋体" w:eastAsia="仿宋_GB2312"/>
          <w:sz w:val="28"/>
          <w:szCs w:val="28"/>
        </w:rPr>
      </w:pPr>
    </w:p>
    <w:p>
      <w:pPr>
        <w:snapToGrid w:val="0"/>
        <w:spacing w:line="560" w:lineRule="exact"/>
        <w:rPr>
          <w:rFonts w:ascii="仿宋_GB2312" w:hAnsi="宋体" w:eastAsia="仿宋_GB2312"/>
          <w:sz w:val="28"/>
          <w:szCs w:val="28"/>
        </w:rPr>
      </w:pPr>
    </w:p>
    <w:p>
      <w:pPr>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第六章  竞标文件格式及内容</w:t>
      </w:r>
    </w:p>
    <w:p>
      <w:pPr>
        <w:snapToGrid w:val="0"/>
        <w:spacing w:line="560" w:lineRule="exact"/>
        <w:rPr>
          <w:rFonts w:ascii="仿宋_GB2312" w:hAnsi="宋体" w:eastAsia="仿宋_GB2312"/>
          <w:sz w:val="28"/>
          <w:szCs w:val="28"/>
        </w:rPr>
      </w:pPr>
      <w:r>
        <w:rPr>
          <w:rFonts w:hint="eastAsia" w:ascii="仿宋_GB2312" w:hAnsi="宋体" w:eastAsia="仿宋_GB2312"/>
          <w:sz w:val="28"/>
          <w:szCs w:val="28"/>
        </w:rPr>
        <w:t xml:space="preserve">  6.1、竞标人资格审查包括以下内容：</w:t>
      </w:r>
    </w:p>
    <w:p>
      <w:pPr>
        <w:snapToGrid w:val="0"/>
        <w:spacing w:line="560" w:lineRule="exact"/>
        <w:rPr>
          <w:rFonts w:ascii="仿宋_GB2312" w:hAnsi="宋体" w:eastAsia="仿宋_GB2312"/>
          <w:sz w:val="28"/>
          <w:szCs w:val="28"/>
        </w:rPr>
      </w:pPr>
      <w:r>
        <w:rPr>
          <w:rFonts w:hint="eastAsia" w:ascii="仿宋_GB2312" w:hAnsi="宋体" w:eastAsia="仿宋_GB2312"/>
          <w:sz w:val="28"/>
          <w:szCs w:val="28"/>
        </w:rPr>
        <w:t xml:space="preserve">   ①、竞标人简介</w:t>
      </w:r>
    </w:p>
    <w:p>
      <w:pPr>
        <w:snapToGrid w:val="0"/>
        <w:spacing w:line="560" w:lineRule="exact"/>
        <w:rPr>
          <w:rFonts w:ascii="仿宋_GB2312" w:hAnsi="宋体" w:eastAsia="仿宋_GB2312"/>
          <w:sz w:val="28"/>
          <w:szCs w:val="28"/>
        </w:rPr>
      </w:pPr>
      <w:r>
        <w:rPr>
          <w:rFonts w:hint="eastAsia" w:ascii="仿宋_GB2312" w:hAnsi="宋体" w:eastAsia="仿宋_GB2312"/>
          <w:sz w:val="28"/>
          <w:szCs w:val="28"/>
        </w:rPr>
        <w:t xml:space="preserve">   ②、法定代表人身份证明</w:t>
      </w:r>
    </w:p>
    <w:p>
      <w:pPr>
        <w:snapToGrid w:val="0"/>
        <w:spacing w:line="560" w:lineRule="exact"/>
        <w:rPr>
          <w:rFonts w:ascii="仿宋_GB2312" w:hAnsi="宋体" w:eastAsia="仿宋_GB2312"/>
          <w:sz w:val="28"/>
          <w:szCs w:val="28"/>
        </w:rPr>
      </w:pPr>
      <w:r>
        <w:rPr>
          <w:rFonts w:hint="eastAsia" w:ascii="仿宋_GB2312" w:hAnsi="宋体" w:eastAsia="仿宋_GB2312"/>
          <w:sz w:val="28"/>
          <w:szCs w:val="28"/>
        </w:rPr>
        <w:t xml:space="preserve">   ③、授权委托书</w:t>
      </w:r>
    </w:p>
    <w:p>
      <w:pPr>
        <w:snapToGrid w:val="0"/>
        <w:spacing w:line="560" w:lineRule="exact"/>
        <w:rPr>
          <w:rFonts w:ascii="仿宋_GB2312" w:hAnsi="宋体" w:eastAsia="仿宋_GB2312"/>
          <w:sz w:val="28"/>
          <w:szCs w:val="28"/>
        </w:rPr>
      </w:pPr>
      <w:r>
        <w:rPr>
          <w:rFonts w:hint="eastAsia" w:ascii="仿宋_GB2312" w:hAnsi="宋体" w:eastAsia="仿宋_GB2312"/>
          <w:sz w:val="28"/>
          <w:szCs w:val="28"/>
        </w:rPr>
        <w:t xml:space="preserve">   ④、营业执照</w:t>
      </w:r>
    </w:p>
    <w:p>
      <w:pPr>
        <w:snapToGrid w:val="0"/>
        <w:spacing w:line="560" w:lineRule="exact"/>
        <w:rPr>
          <w:rFonts w:ascii="仿宋_GB2312" w:hAnsi="宋体" w:eastAsia="仿宋_GB2312"/>
          <w:sz w:val="28"/>
          <w:szCs w:val="28"/>
        </w:rPr>
      </w:pPr>
      <w:r>
        <w:rPr>
          <w:rFonts w:hint="eastAsia" w:ascii="仿宋_GB2312" w:hAnsi="宋体" w:eastAsia="仿宋_GB2312"/>
          <w:sz w:val="28"/>
          <w:szCs w:val="28"/>
        </w:rPr>
        <w:t xml:space="preserve">   ⑤、税务登记证</w:t>
      </w:r>
    </w:p>
    <w:p>
      <w:pPr>
        <w:snapToGrid w:val="0"/>
        <w:spacing w:line="560" w:lineRule="exact"/>
        <w:ind w:firstLine="420" w:firstLineChars="150"/>
        <w:rPr>
          <w:rFonts w:ascii="仿宋_GB2312" w:hAnsi="宋体" w:eastAsia="仿宋_GB2312"/>
          <w:sz w:val="28"/>
          <w:szCs w:val="28"/>
        </w:rPr>
      </w:pPr>
      <w:r>
        <w:rPr>
          <w:rFonts w:hint="eastAsia" w:ascii="仿宋_GB2312" w:hAnsi="宋体" w:eastAsia="仿宋_GB2312"/>
          <w:sz w:val="28"/>
          <w:szCs w:val="28"/>
        </w:rPr>
        <w:t>⑥、竞标承若书</w:t>
      </w:r>
    </w:p>
    <w:p>
      <w:pPr>
        <w:snapToGrid w:val="0"/>
        <w:spacing w:line="560" w:lineRule="exact"/>
        <w:rPr>
          <w:rFonts w:ascii="仿宋_GB2312" w:hAnsi="宋体" w:eastAsia="仿宋_GB2312"/>
          <w:sz w:val="28"/>
          <w:szCs w:val="28"/>
        </w:rPr>
      </w:pPr>
      <w:r>
        <w:rPr>
          <w:rFonts w:hint="eastAsia" w:ascii="仿宋_GB2312" w:hAnsi="宋体" w:eastAsia="仿宋_GB2312"/>
          <w:sz w:val="28"/>
          <w:szCs w:val="28"/>
        </w:rPr>
        <w:t>6.2、竞标商务文件包括以下内容：</w:t>
      </w:r>
    </w:p>
    <w:p>
      <w:pPr>
        <w:snapToGrid w:val="0"/>
        <w:spacing w:line="560" w:lineRule="exact"/>
        <w:ind w:firstLine="555"/>
        <w:rPr>
          <w:rFonts w:ascii="仿宋_GB2312" w:eastAsia="仿宋_GB2312"/>
          <w:sz w:val="28"/>
          <w:szCs w:val="28"/>
        </w:rPr>
      </w:pPr>
      <w:r>
        <w:rPr>
          <w:rFonts w:hint="eastAsia" w:ascii="仿宋_GB2312" w:hAnsi="宋体" w:eastAsia="仿宋_GB2312"/>
          <w:sz w:val="28"/>
          <w:szCs w:val="28"/>
        </w:rPr>
        <w:t xml:space="preserve">  ①、竞标报价表</w:t>
      </w:r>
    </w:p>
    <w:p>
      <w:pPr>
        <w:snapToGrid w:val="0"/>
        <w:spacing w:line="560" w:lineRule="exact"/>
        <w:rPr>
          <w:rFonts w:ascii="仿宋_GB2312" w:eastAsia="仿宋_GB2312"/>
          <w:sz w:val="28"/>
          <w:szCs w:val="28"/>
        </w:rPr>
      </w:pPr>
      <w:r>
        <w:rPr>
          <w:rFonts w:hint="eastAsia" w:ascii="仿宋_GB2312" w:eastAsia="仿宋_GB2312"/>
          <w:sz w:val="28"/>
          <w:szCs w:val="28"/>
        </w:rPr>
        <w:t xml:space="preserve">                                    南方石墨新材料有限公司</w:t>
      </w:r>
    </w:p>
    <w:p>
      <w:pPr>
        <w:snapToGrid w:val="0"/>
        <w:spacing w:line="560" w:lineRule="exact"/>
        <w:ind w:firstLine="5460" w:firstLineChars="1950"/>
        <w:rPr>
          <w:rFonts w:ascii="仿宋_GB2312" w:eastAsia="仿宋_GB2312"/>
          <w:sz w:val="28"/>
          <w:szCs w:val="28"/>
        </w:rPr>
      </w:pPr>
      <w:r>
        <w:rPr>
          <w:rFonts w:hint="eastAsia" w:ascii="仿宋_GB2312" w:eastAsia="仿宋_GB2312"/>
          <w:sz w:val="28"/>
          <w:szCs w:val="28"/>
        </w:rPr>
        <w:t xml:space="preserve">    2020年3月</w:t>
      </w:r>
    </w:p>
    <w:p>
      <w:pPr>
        <w:snapToGrid w:val="0"/>
        <w:spacing w:line="560" w:lineRule="exact"/>
        <w:ind w:firstLine="5460" w:firstLineChars="1950"/>
        <w:rPr>
          <w:rFonts w:ascii="仿宋_GB2312" w:eastAsia="仿宋_GB2312"/>
          <w:sz w:val="28"/>
          <w:szCs w:val="28"/>
        </w:rPr>
      </w:pPr>
    </w:p>
    <w:p>
      <w:pPr>
        <w:snapToGrid w:val="0"/>
        <w:spacing w:line="560" w:lineRule="exact"/>
        <w:ind w:firstLine="5460" w:firstLineChars="1950"/>
        <w:rPr>
          <w:rFonts w:ascii="仿宋_GB2312" w:eastAsia="仿宋_GB2312"/>
          <w:sz w:val="28"/>
          <w:szCs w:val="28"/>
        </w:rPr>
      </w:pPr>
    </w:p>
    <w:p>
      <w:pPr>
        <w:snapToGrid w:val="0"/>
        <w:spacing w:line="560" w:lineRule="exact"/>
        <w:rPr>
          <w:rFonts w:ascii="仿宋_GB2312" w:eastAsia="仿宋_GB2312"/>
          <w:sz w:val="28"/>
          <w:szCs w:val="28"/>
        </w:rPr>
      </w:pPr>
    </w:p>
    <w:sectPr>
      <w:footerReference r:id="rId3" w:type="default"/>
      <w:pgSz w:w="11906" w:h="16838"/>
      <w:pgMar w:top="1440" w:right="1797" w:bottom="1440"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ook Antiqua">
    <w:altName w:val="Palatino Linotype"/>
    <w:panose1 w:val="00000000000000000000"/>
    <w:charset w:val="00"/>
    <w:family w:val="roman"/>
    <w:pitch w:val="default"/>
    <w:sig w:usb0="00000000" w:usb1="00000000" w:usb2="00000000" w:usb3="00000000" w:csb0="000000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文细黑">
    <w:altName w:val="宋体"/>
    <w:panose1 w:val="00000000000000000000"/>
    <w:charset w:val="86"/>
    <w:family w:val="auto"/>
    <w:pitch w:val="default"/>
    <w:sig w:usb0="00000000" w:usb1="00000000" w:usb2="00000010" w:usb3="00000000" w:csb0="0004009F" w:csb1="00000000"/>
  </w:font>
  <w:font w:name="方正小标宋简体">
    <w:altName w:val="宋体"/>
    <w:panose1 w:val="00000000000000000000"/>
    <w:charset w:val="86"/>
    <w:family w:val="script"/>
    <w:pitch w:val="default"/>
    <w:sig w:usb0="00000000" w:usb1="00000000" w:usb2="00000010" w:usb3="00000000" w:csb0="00040000" w:csb1="00000000"/>
  </w:font>
  <w:font w:name="Helvetica">
    <w:altName w:val="Arial"/>
    <w:panose1 w:val="020B0504020202020204"/>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Palatino Linotype">
    <w:panose1 w:val="02040502050505030304"/>
    <w:charset w:val="00"/>
    <w:family w:val="auto"/>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Fonts w:ascii="仿宋_GB2312" w:eastAsia="仿宋_GB2312"/>
        <w:sz w:val="21"/>
        <w:szCs w:val="21"/>
      </w:rPr>
    </w:pPr>
    <w:r>
      <w:rPr>
        <w:rFonts w:hint="eastAsia" w:ascii="仿宋_GB2312" w:eastAsia="仿宋_GB2312"/>
        <w:sz w:val="21"/>
        <w:szCs w:val="21"/>
        <w:lang w:val="zh-CN"/>
      </w:rPr>
      <w:t xml:space="preserve"> 第</w:t>
    </w:r>
    <w:r>
      <w:rPr>
        <w:rFonts w:hint="eastAsia" w:ascii="仿宋_GB2312" w:eastAsia="仿宋_GB2312"/>
        <w:sz w:val="21"/>
        <w:szCs w:val="21"/>
      </w:rPr>
      <w:fldChar w:fldCharType="begin"/>
    </w:r>
    <w:r>
      <w:rPr>
        <w:rFonts w:hint="eastAsia" w:ascii="仿宋_GB2312" w:eastAsia="仿宋_GB2312"/>
        <w:sz w:val="21"/>
        <w:szCs w:val="21"/>
      </w:rPr>
      <w:instrText xml:space="preserve">PAGE</w:instrText>
    </w:r>
    <w:r>
      <w:rPr>
        <w:rFonts w:hint="eastAsia" w:ascii="仿宋_GB2312" w:eastAsia="仿宋_GB2312"/>
        <w:sz w:val="21"/>
        <w:szCs w:val="21"/>
      </w:rPr>
      <w:fldChar w:fldCharType="separate"/>
    </w:r>
    <w:r>
      <w:rPr>
        <w:rFonts w:ascii="仿宋_GB2312" w:eastAsia="仿宋_GB2312"/>
        <w:sz w:val="21"/>
        <w:szCs w:val="21"/>
      </w:rPr>
      <w:t>4</w:t>
    </w:r>
    <w:r>
      <w:rPr>
        <w:rFonts w:hint="eastAsia" w:ascii="仿宋_GB2312" w:eastAsia="仿宋_GB2312"/>
        <w:sz w:val="21"/>
        <w:szCs w:val="21"/>
      </w:rPr>
      <w:fldChar w:fldCharType="end"/>
    </w:r>
    <w:r>
      <w:rPr>
        <w:rFonts w:hint="eastAsia" w:ascii="仿宋_GB2312" w:eastAsia="仿宋_GB2312"/>
        <w:sz w:val="21"/>
        <w:szCs w:val="21"/>
      </w:rPr>
      <w:t>页 共</w:t>
    </w:r>
    <w:r>
      <w:rPr>
        <w:rFonts w:hint="eastAsia" w:ascii="仿宋_GB2312" w:eastAsia="仿宋_GB2312"/>
        <w:sz w:val="21"/>
        <w:szCs w:val="21"/>
        <w:lang w:val="zh-CN"/>
      </w:rPr>
      <w:t xml:space="preserve"> </w:t>
    </w:r>
    <w:r>
      <w:rPr>
        <w:rFonts w:hint="eastAsia" w:ascii="仿宋_GB2312" w:eastAsia="仿宋_GB2312"/>
        <w:sz w:val="21"/>
        <w:szCs w:val="21"/>
      </w:rPr>
      <w:fldChar w:fldCharType="begin"/>
    </w:r>
    <w:r>
      <w:rPr>
        <w:rFonts w:hint="eastAsia" w:ascii="仿宋_GB2312" w:eastAsia="仿宋_GB2312"/>
        <w:sz w:val="21"/>
        <w:szCs w:val="21"/>
      </w:rPr>
      <w:instrText xml:space="preserve">NUMPAGES</w:instrText>
    </w:r>
    <w:r>
      <w:rPr>
        <w:rFonts w:hint="eastAsia" w:ascii="仿宋_GB2312" w:eastAsia="仿宋_GB2312"/>
        <w:sz w:val="21"/>
        <w:szCs w:val="21"/>
      </w:rPr>
      <w:fldChar w:fldCharType="separate"/>
    </w:r>
    <w:r>
      <w:rPr>
        <w:rFonts w:ascii="仿宋_GB2312" w:eastAsia="仿宋_GB2312"/>
        <w:sz w:val="21"/>
        <w:szCs w:val="21"/>
      </w:rPr>
      <w:t>13</w:t>
    </w:r>
    <w:r>
      <w:rPr>
        <w:rFonts w:hint="eastAsia" w:ascii="仿宋_GB2312" w:eastAsia="仿宋_GB2312"/>
        <w:sz w:val="21"/>
        <w:szCs w:val="21"/>
      </w:rPr>
      <w:fldChar w:fldCharType="end"/>
    </w:r>
    <w:r>
      <w:rPr>
        <w:rFonts w:hint="eastAsia" w:ascii="仿宋_GB2312" w:eastAsia="仿宋_GB2312"/>
        <w:sz w:val="21"/>
        <w:szCs w:val="21"/>
      </w:rPr>
      <w:t>页</w:t>
    </w:r>
  </w:p>
  <w:p>
    <w:pPr>
      <w:pStyle w:val="2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B82"/>
    <w:rsid w:val="00004C5D"/>
    <w:rsid w:val="00006030"/>
    <w:rsid w:val="000129A2"/>
    <w:rsid w:val="00013B9F"/>
    <w:rsid w:val="00014311"/>
    <w:rsid w:val="000262B4"/>
    <w:rsid w:val="00045D4D"/>
    <w:rsid w:val="000714B0"/>
    <w:rsid w:val="0007160F"/>
    <w:rsid w:val="0008329F"/>
    <w:rsid w:val="000A007F"/>
    <w:rsid w:val="000B1F5C"/>
    <w:rsid w:val="000B4F3D"/>
    <w:rsid w:val="000C112D"/>
    <w:rsid w:val="000D1E7E"/>
    <w:rsid w:val="000D7F32"/>
    <w:rsid w:val="000E1F0E"/>
    <w:rsid w:val="000E5906"/>
    <w:rsid w:val="000F0795"/>
    <w:rsid w:val="000F45F1"/>
    <w:rsid w:val="001042D4"/>
    <w:rsid w:val="00110CCC"/>
    <w:rsid w:val="00116142"/>
    <w:rsid w:val="0012631E"/>
    <w:rsid w:val="00143FE2"/>
    <w:rsid w:val="00160A0C"/>
    <w:rsid w:val="00165428"/>
    <w:rsid w:val="00171996"/>
    <w:rsid w:val="00172A27"/>
    <w:rsid w:val="00172B87"/>
    <w:rsid w:val="001809BA"/>
    <w:rsid w:val="00184FA4"/>
    <w:rsid w:val="00191979"/>
    <w:rsid w:val="001A663C"/>
    <w:rsid w:val="001B2118"/>
    <w:rsid w:val="001C3B4F"/>
    <w:rsid w:val="001C4D40"/>
    <w:rsid w:val="001D00FE"/>
    <w:rsid w:val="001D2D3D"/>
    <w:rsid w:val="001D4089"/>
    <w:rsid w:val="001D6016"/>
    <w:rsid w:val="001E58F2"/>
    <w:rsid w:val="00213AA3"/>
    <w:rsid w:val="00233B5B"/>
    <w:rsid w:val="00236E2D"/>
    <w:rsid w:val="0025140D"/>
    <w:rsid w:val="00255465"/>
    <w:rsid w:val="00272463"/>
    <w:rsid w:val="00282A89"/>
    <w:rsid w:val="002856D3"/>
    <w:rsid w:val="00297B82"/>
    <w:rsid w:val="002A1290"/>
    <w:rsid w:val="002C55FB"/>
    <w:rsid w:val="002D141C"/>
    <w:rsid w:val="002D177C"/>
    <w:rsid w:val="002D6D69"/>
    <w:rsid w:val="002E04B6"/>
    <w:rsid w:val="002F21AB"/>
    <w:rsid w:val="003057A1"/>
    <w:rsid w:val="00316BBA"/>
    <w:rsid w:val="0031729F"/>
    <w:rsid w:val="00324ABD"/>
    <w:rsid w:val="00325F7F"/>
    <w:rsid w:val="003267AF"/>
    <w:rsid w:val="003313C8"/>
    <w:rsid w:val="00333DB6"/>
    <w:rsid w:val="00340F2B"/>
    <w:rsid w:val="00345F34"/>
    <w:rsid w:val="00357AC9"/>
    <w:rsid w:val="00364159"/>
    <w:rsid w:val="00382142"/>
    <w:rsid w:val="00387A21"/>
    <w:rsid w:val="0039238B"/>
    <w:rsid w:val="00396F87"/>
    <w:rsid w:val="003A2B3C"/>
    <w:rsid w:val="003A61CB"/>
    <w:rsid w:val="003A7B17"/>
    <w:rsid w:val="003B685C"/>
    <w:rsid w:val="003C54B6"/>
    <w:rsid w:val="003D26C2"/>
    <w:rsid w:val="003D6525"/>
    <w:rsid w:val="003D713C"/>
    <w:rsid w:val="003E52AD"/>
    <w:rsid w:val="003E7555"/>
    <w:rsid w:val="003F6E99"/>
    <w:rsid w:val="00402868"/>
    <w:rsid w:val="00411F21"/>
    <w:rsid w:val="00416245"/>
    <w:rsid w:val="0044366E"/>
    <w:rsid w:val="00460051"/>
    <w:rsid w:val="00460B76"/>
    <w:rsid w:val="00466B61"/>
    <w:rsid w:val="0047484E"/>
    <w:rsid w:val="004755A6"/>
    <w:rsid w:val="00476402"/>
    <w:rsid w:val="004920C6"/>
    <w:rsid w:val="004D2C7A"/>
    <w:rsid w:val="00503BC0"/>
    <w:rsid w:val="00504BA0"/>
    <w:rsid w:val="00511882"/>
    <w:rsid w:val="005126E4"/>
    <w:rsid w:val="0052170B"/>
    <w:rsid w:val="00534513"/>
    <w:rsid w:val="00535C74"/>
    <w:rsid w:val="00540EB7"/>
    <w:rsid w:val="005412D0"/>
    <w:rsid w:val="00546161"/>
    <w:rsid w:val="00564FBC"/>
    <w:rsid w:val="005759C2"/>
    <w:rsid w:val="00577267"/>
    <w:rsid w:val="005809F4"/>
    <w:rsid w:val="00585C20"/>
    <w:rsid w:val="00591031"/>
    <w:rsid w:val="005964E6"/>
    <w:rsid w:val="005B2FFE"/>
    <w:rsid w:val="005B3B00"/>
    <w:rsid w:val="005C16AB"/>
    <w:rsid w:val="005C27F7"/>
    <w:rsid w:val="005C4783"/>
    <w:rsid w:val="005C79AB"/>
    <w:rsid w:val="005E45B9"/>
    <w:rsid w:val="005E7941"/>
    <w:rsid w:val="005F07C6"/>
    <w:rsid w:val="005F488F"/>
    <w:rsid w:val="00607E12"/>
    <w:rsid w:val="00621709"/>
    <w:rsid w:val="00632AC0"/>
    <w:rsid w:val="006344B5"/>
    <w:rsid w:val="0065096A"/>
    <w:rsid w:val="006576A1"/>
    <w:rsid w:val="00681B61"/>
    <w:rsid w:val="006826F5"/>
    <w:rsid w:val="006A124C"/>
    <w:rsid w:val="006A4874"/>
    <w:rsid w:val="006A7D1A"/>
    <w:rsid w:val="006C5851"/>
    <w:rsid w:val="006D23B4"/>
    <w:rsid w:val="006D4199"/>
    <w:rsid w:val="006E021B"/>
    <w:rsid w:val="006E0244"/>
    <w:rsid w:val="006E1122"/>
    <w:rsid w:val="006E780E"/>
    <w:rsid w:val="00706B73"/>
    <w:rsid w:val="00716C9D"/>
    <w:rsid w:val="007176C8"/>
    <w:rsid w:val="007276D5"/>
    <w:rsid w:val="007755FD"/>
    <w:rsid w:val="00776528"/>
    <w:rsid w:val="00781BA6"/>
    <w:rsid w:val="007850CE"/>
    <w:rsid w:val="00785173"/>
    <w:rsid w:val="00785287"/>
    <w:rsid w:val="007B51A6"/>
    <w:rsid w:val="007C6DBD"/>
    <w:rsid w:val="007E6A74"/>
    <w:rsid w:val="007F0E96"/>
    <w:rsid w:val="007F6817"/>
    <w:rsid w:val="008235E5"/>
    <w:rsid w:val="008326B6"/>
    <w:rsid w:val="00856416"/>
    <w:rsid w:val="008600FE"/>
    <w:rsid w:val="00860848"/>
    <w:rsid w:val="00875050"/>
    <w:rsid w:val="008903D6"/>
    <w:rsid w:val="008912C2"/>
    <w:rsid w:val="0089192F"/>
    <w:rsid w:val="00894092"/>
    <w:rsid w:val="008A0CA6"/>
    <w:rsid w:val="008A5BC0"/>
    <w:rsid w:val="008D5F99"/>
    <w:rsid w:val="00900CDB"/>
    <w:rsid w:val="0090332C"/>
    <w:rsid w:val="00903762"/>
    <w:rsid w:val="00904F03"/>
    <w:rsid w:val="00913182"/>
    <w:rsid w:val="0091684F"/>
    <w:rsid w:val="009227A9"/>
    <w:rsid w:val="00940498"/>
    <w:rsid w:val="00947A2D"/>
    <w:rsid w:val="00970B8A"/>
    <w:rsid w:val="009765D0"/>
    <w:rsid w:val="00985674"/>
    <w:rsid w:val="009906DA"/>
    <w:rsid w:val="009A3003"/>
    <w:rsid w:val="009A351D"/>
    <w:rsid w:val="009A6813"/>
    <w:rsid w:val="009B0C69"/>
    <w:rsid w:val="009B7D58"/>
    <w:rsid w:val="009C266A"/>
    <w:rsid w:val="009D595A"/>
    <w:rsid w:val="009F4A4E"/>
    <w:rsid w:val="009F7651"/>
    <w:rsid w:val="00A01D5B"/>
    <w:rsid w:val="00A229C3"/>
    <w:rsid w:val="00A30D90"/>
    <w:rsid w:val="00A36AA8"/>
    <w:rsid w:val="00A4004C"/>
    <w:rsid w:val="00A43C1B"/>
    <w:rsid w:val="00A627A8"/>
    <w:rsid w:val="00A661F4"/>
    <w:rsid w:val="00A73491"/>
    <w:rsid w:val="00A838B7"/>
    <w:rsid w:val="00A93005"/>
    <w:rsid w:val="00AA4B67"/>
    <w:rsid w:val="00AA4C00"/>
    <w:rsid w:val="00AC127F"/>
    <w:rsid w:val="00AC14B5"/>
    <w:rsid w:val="00AC3728"/>
    <w:rsid w:val="00AC44B8"/>
    <w:rsid w:val="00AD126B"/>
    <w:rsid w:val="00AD517E"/>
    <w:rsid w:val="00AD7385"/>
    <w:rsid w:val="00AE5E6C"/>
    <w:rsid w:val="00B0187C"/>
    <w:rsid w:val="00B040D8"/>
    <w:rsid w:val="00B1113B"/>
    <w:rsid w:val="00B33142"/>
    <w:rsid w:val="00B51D1D"/>
    <w:rsid w:val="00B64F38"/>
    <w:rsid w:val="00B66045"/>
    <w:rsid w:val="00B67B62"/>
    <w:rsid w:val="00B70E40"/>
    <w:rsid w:val="00B71420"/>
    <w:rsid w:val="00B74606"/>
    <w:rsid w:val="00B83541"/>
    <w:rsid w:val="00B8745F"/>
    <w:rsid w:val="00B90935"/>
    <w:rsid w:val="00BA1648"/>
    <w:rsid w:val="00BA3CC3"/>
    <w:rsid w:val="00BA7BD7"/>
    <w:rsid w:val="00BB0D30"/>
    <w:rsid w:val="00BB2863"/>
    <w:rsid w:val="00BB2EB6"/>
    <w:rsid w:val="00BB2F55"/>
    <w:rsid w:val="00BC108E"/>
    <w:rsid w:val="00BC2419"/>
    <w:rsid w:val="00BE3606"/>
    <w:rsid w:val="00BF263B"/>
    <w:rsid w:val="00C139A9"/>
    <w:rsid w:val="00C206AF"/>
    <w:rsid w:val="00C214F3"/>
    <w:rsid w:val="00C321FF"/>
    <w:rsid w:val="00C353AF"/>
    <w:rsid w:val="00C4008B"/>
    <w:rsid w:val="00C473AE"/>
    <w:rsid w:val="00C82C94"/>
    <w:rsid w:val="00C84288"/>
    <w:rsid w:val="00C85880"/>
    <w:rsid w:val="00C960DA"/>
    <w:rsid w:val="00CB430A"/>
    <w:rsid w:val="00CC7D26"/>
    <w:rsid w:val="00CD05AF"/>
    <w:rsid w:val="00CD6CE4"/>
    <w:rsid w:val="00CE1498"/>
    <w:rsid w:val="00CE59D3"/>
    <w:rsid w:val="00CF202B"/>
    <w:rsid w:val="00CF6A32"/>
    <w:rsid w:val="00D000D7"/>
    <w:rsid w:val="00D46105"/>
    <w:rsid w:val="00D54A45"/>
    <w:rsid w:val="00D73B80"/>
    <w:rsid w:val="00D819B2"/>
    <w:rsid w:val="00D83FC4"/>
    <w:rsid w:val="00D83FD3"/>
    <w:rsid w:val="00D966BE"/>
    <w:rsid w:val="00DA758B"/>
    <w:rsid w:val="00DB2F64"/>
    <w:rsid w:val="00DD03F3"/>
    <w:rsid w:val="00DD33FC"/>
    <w:rsid w:val="00DE3D65"/>
    <w:rsid w:val="00DF5E32"/>
    <w:rsid w:val="00E02BE4"/>
    <w:rsid w:val="00E06C34"/>
    <w:rsid w:val="00E103F2"/>
    <w:rsid w:val="00E26552"/>
    <w:rsid w:val="00E368E1"/>
    <w:rsid w:val="00E407BC"/>
    <w:rsid w:val="00E40902"/>
    <w:rsid w:val="00E40DBB"/>
    <w:rsid w:val="00E43409"/>
    <w:rsid w:val="00E54EF1"/>
    <w:rsid w:val="00E62A3F"/>
    <w:rsid w:val="00E65AF7"/>
    <w:rsid w:val="00E669F4"/>
    <w:rsid w:val="00E7011A"/>
    <w:rsid w:val="00E7038D"/>
    <w:rsid w:val="00E73F72"/>
    <w:rsid w:val="00E74AF8"/>
    <w:rsid w:val="00E860B8"/>
    <w:rsid w:val="00E94620"/>
    <w:rsid w:val="00EB4A77"/>
    <w:rsid w:val="00EC2FF6"/>
    <w:rsid w:val="00ED2B33"/>
    <w:rsid w:val="00ED7DFA"/>
    <w:rsid w:val="00EE1C6B"/>
    <w:rsid w:val="00EE40E9"/>
    <w:rsid w:val="00EF6E2E"/>
    <w:rsid w:val="00F0309C"/>
    <w:rsid w:val="00F030B0"/>
    <w:rsid w:val="00F10418"/>
    <w:rsid w:val="00F11611"/>
    <w:rsid w:val="00F12AEB"/>
    <w:rsid w:val="00F32ECA"/>
    <w:rsid w:val="00F43633"/>
    <w:rsid w:val="00F506B5"/>
    <w:rsid w:val="00F528A7"/>
    <w:rsid w:val="00F54117"/>
    <w:rsid w:val="00F608A2"/>
    <w:rsid w:val="00F62380"/>
    <w:rsid w:val="00F63D12"/>
    <w:rsid w:val="00F80BAD"/>
    <w:rsid w:val="00F83911"/>
    <w:rsid w:val="00F85A79"/>
    <w:rsid w:val="00F85EEE"/>
    <w:rsid w:val="00F903D0"/>
    <w:rsid w:val="00FA0D90"/>
    <w:rsid w:val="00FA3A91"/>
    <w:rsid w:val="00FB06A4"/>
    <w:rsid w:val="00FB520D"/>
    <w:rsid w:val="00FC4857"/>
    <w:rsid w:val="00FC74F8"/>
    <w:rsid w:val="00FD5A65"/>
    <w:rsid w:val="00FE5619"/>
    <w:rsid w:val="00FF6A18"/>
    <w:rsid w:val="05A62F06"/>
    <w:rsid w:val="06741BBF"/>
    <w:rsid w:val="0738594A"/>
    <w:rsid w:val="077210D0"/>
    <w:rsid w:val="09382F65"/>
    <w:rsid w:val="097E4149"/>
    <w:rsid w:val="0B2941F6"/>
    <w:rsid w:val="0C1D22F6"/>
    <w:rsid w:val="0F1034B1"/>
    <w:rsid w:val="115C167F"/>
    <w:rsid w:val="13BE6467"/>
    <w:rsid w:val="143B5B9F"/>
    <w:rsid w:val="1448302C"/>
    <w:rsid w:val="16426EA2"/>
    <w:rsid w:val="179F76E4"/>
    <w:rsid w:val="18071F58"/>
    <w:rsid w:val="1B672932"/>
    <w:rsid w:val="1D1322B9"/>
    <w:rsid w:val="1D827FC1"/>
    <w:rsid w:val="1FC26DA0"/>
    <w:rsid w:val="21414C42"/>
    <w:rsid w:val="220F1637"/>
    <w:rsid w:val="22A87A0C"/>
    <w:rsid w:val="232F0C45"/>
    <w:rsid w:val="239B6BAB"/>
    <w:rsid w:val="23F46DA3"/>
    <w:rsid w:val="25595301"/>
    <w:rsid w:val="25F77D40"/>
    <w:rsid w:val="262936EE"/>
    <w:rsid w:val="277230A0"/>
    <w:rsid w:val="277748FB"/>
    <w:rsid w:val="27A11240"/>
    <w:rsid w:val="280254C6"/>
    <w:rsid w:val="290318F0"/>
    <w:rsid w:val="2C0D2656"/>
    <w:rsid w:val="2D444AC6"/>
    <w:rsid w:val="313542A5"/>
    <w:rsid w:val="36D33C94"/>
    <w:rsid w:val="37B90375"/>
    <w:rsid w:val="37C958C0"/>
    <w:rsid w:val="380521D5"/>
    <w:rsid w:val="38A63275"/>
    <w:rsid w:val="39555893"/>
    <w:rsid w:val="3A786AF4"/>
    <w:rsid w:val="3A8B46F0"/>
    <w:rsid w:val="3B2F7D25"/>
    <w:rsid w:val="3F545EE4"/>
    <w:rsid w:val="3F774567"/>
    <w:rsid w:val="3F897128"/>
    <w:rsid w:val="437960BD"/>
    <w:rsid w:val="44692C14"/>
    <w:rsid w:val="452F02CA"/>
    <w:rsid w:val="457A04AC"/>
    <w:rsid w:val="470E01FE"/>
    <w:rsid w:val="48367749"/>
    <w:rsid w:val="4850035D"/>
    <w:rsid w:val="498610A1"/>
    <w:rsid w:val="4F2102B7"/>
    <w:rsid w:val="50195FE2"/>
    <w:rsid w:val="51DD017C"/>
    <w:rsid w:val="52072716"/>
    <w:rsid w:val="52145453"/>
    <w:rsid w:val="523E7D88"/>
    <w:rsid w:val="55A93B56"/>
    <w:rsid w:val="57883D36"/>
    <w:rsid w:val="593859F8"/>
    <w:rsid w:val="59C26393"/>
    <w:rsid w:val="5B7C6E49"/>
    <w:rsid w:val="5C5B4E67"/>
    <w:rsid w:val="5C993034"/>
    <w:rsid w:val="5CDF098B"/>
    <w:rsid w:val="5CE06C12"/>
    <w:rsid w:val="5EBC36E9"/>
    <w:rsid w:val="5EF91A7D"/>
    <w:rsid w:val="5FA5567E"/>
    <w:rsid w:val="6053481A"/>
    <w:rsid w:val="611070B5"/>
    <w:rsid w:val="61747897"/>
    <w:rsid w:val="62202D4A"/>
    <w:rsid w:val="62FA0BDA"/>
    <w:rsid w:val="63682A37"/>
    <w:rsid w:val="639C5499"/>
    <w:rsid w:val="652F113A"/>
    <w:rsid w:val="6570595C"/>
    <w:rsid w:val="67441143"/>
    <w:rsid w:val="67882BB7"/>
    <w:rsid w:val="69F0788F"/>
    <w:rsid w:val="6B2E1CB9"/>
    <w:rsid w:val="6B974C7D"/>
    <w:rsid w:val="6BEB518E"/>
    <w:rsid w:val="6C2D302E"/>
    <w:rsid w:val="6CED68D4"/>
    <w:rsid w:val="6D2A31F3"/>
    <w:rsid w:val="6D3F6505"/>
    <w:rsid w:val="6D8E03EE"/>
    <w:rsid w:val="6DD0769F"/>
    <w:rsid w:val="6FF168A7"/>
    <w:rsid w:val="700952FF"/>
    <w:rsid w:val="70E32E5B"/>
    <w:rsid w:val="71204D63"/>
    <w:rsid w:val="724E11FA"/>
    <w:rsid w:val="72911993"/>
    <w:rsid w:val="74112504"/>
    <w:rsid w:val="74BB0449"/>
    <w:rsid w:val="7A5C65DE"/>
    <w:rsid w:val="7BC948C2"/>
    <w:rsid w:val="7C5F1F81"/>
    <w:rsid w:val="7CA74E91"/>
    <w:rsid w:val="7CDC5979"/>
    <w:rsid w:val="7DEF2020"/>
    <w:rsid w:val="7DFD4BC8"/>
    <w:rsid w:val="7EC21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Book Antiqua" w:hAnsi="Book Antiqua" w:eastAsia="宋体" w:cs="Book Antiqu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9"/>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62"/>
    <w:qFormat/>
    <w:uiPriority w:val="0"/>
    <w:pPr>
      <w:keepNext/>
      <w:keepLines/>
      <w:spacing w:before="260" w:after="260" w:line="416" w:lineRule="auto"/>
      <w:outlineLvl w:val="2"/>
    </w:pPr>
    <w:rPr>
      <w:b/>
      <w:bCs/>
      <w:sz w:val="32"/>
      <w:szCs w:val="32"/>
    </w:rPr>
  </w:style>
  <w:style w:type="paragraph" w:styleId="5">
    <w:name w:val="heading 4"/>
    <w:basedOn w:val="1"/>
    <w:next w:val="1"/>
    <w:link w:val="38"/>
    <w:qFormat/>
    <w:uiPriority w:val="0"/>
    <w:pPr>
      <w:keepNext/>
      <w:keepLines/>
      <w:spacing w:before="280" w:after="290" w:line="376" w:lineRule="auto"/>
      <w:outlineLvl w:val="3"/>
    </w:pPr>
    <w:rPr>
      <w:rFonts w:ascii="Arial" w:hAnsi="Arial" w:eastAsia="黑体"/>
      <w:b/>
      <w:bCs/>
      <w:sz w:val="28"/>
      <w:szCs w:val="28"/>
    </w:rPr>
  </w:style>
  <w:style w:type="paragraph" w:styleId="6">
    <w:name w:val="heading 6"/>
    <w:basedOn w:val="1"/>
    <w:next w:val="1"/>
    <w:link w:val="43"/>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7">
    <w:name w:val="heading 7"/>
    <w:basedOn w:val="1"/>
    <w:next w:val="1"/>
    <w:link w:val="53"/>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basedOn w:val="1"/>
    <w:next w:val="1"/>
    <w:link w:val="35"/>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9">
    <w:name w:val="heading 9"/>
    <w:basedOn w:val="1"/>
    <w:next w:val="1"/>
    <w:link w:val="47"/>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29">
    <w:name w:val="Default Paragraph Font"/>
    <w:semiHidden/>
    <w:unhideWhenUsed/>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0">
    <w:name w:val="Normal Indent"/>
    <w:basedOn w:val="1"/>
    <w:qFormat/>
    <w:uiPriority w:val="0"/>
    <w:pPr>
      <w:ind w:firstLine="420" w:firstLineChars="200"/>
    </w:pPr>
  </w:style>
  <w:style w:type="paragraph" w:styleId="11">
    <w:name w:val="Document Map"/>
    <w:basedOn w:val="1"/>
    <w:link w:val="44"/>
    <w:semiHidden/>
    <w:qFormat/>
    <w:uiPriority w:val="0"/>
    <w:pPr>
      <w:shd w:val="clear" w:color="auto" w:fill="000080"/>
    </w:pPr>
  </w:style>
  <w:style w:type="paragraph" w:styleId="12">
    <w:name w:val="annotation text"/>
    <w:basedOn w:val="1"/>
    <w:link w:val="61"/>
    <w:semiHidden/>
    <w:qFormat/>
    <w:uiPriority w:val="0"/>
    <w:pPr>
      <w:jc w:val="left"/>
    </w:pPr>
  </w:style>
  <w:style w:type="paragraph" w:styleId="13">
    <w:name w:val="Body Text 3"/>
    <w:basedOn w:val="1"/>
    <w:link w:val="54"/>
    <w:qFormat/>
    <w:uiPriority w:val="0"/>
    <w:rPr>
      <w:rFonts w:ascii="宋体"/>
      <w:sz w:val="24"/>
      <w:szCs w:val="20"/>
    </w:rPr>
  </w:style>
  <w:style w:type="paragraph" w:styleId="14">
    <w:name w:val="Body Text"/>
    <w:basedOn w:val="1"/>
    <w:link w:val="49"/>
    <w:qFormat/>
    <w:uiPriority w:val="0"/>
    <w:pPr>
      <w:spacing w:after="120"/>
    </w:pPr>
  </w:style>
  <w:style w:type="paragraph" w:styleId="15">
    <w:name w:val="Body Text Indent"/>
    <w:basedOn w:val="1"/>
    <w:link w:val="42"/>
    <w:qFormat/>
    <w:uiPriority w:val="0"/>
    <w:pPr>
      <w:spacing w:after="120"/>
      <w:ind w:left="420" w:leftChars="200"/>
    </w:pPr>
  </w:style>
  <w:style w:type="paragraph" w:styleId="16">
    <w:name w:val="Plain Text"/>
    <w:basedOn w:val="1"/>
    <w:link w:val="57"/>
    <w:qFormat/>
    <w:uiPriority w:val="0"/>
    <w:pPr>
      <w:ind w:firstLine="200" w:firstLineChars="200"/>
    </w:pPr>
    <w:rPr>
      <w:rFonts w:ascii="宋体" w:hAnsi="Courier New" w:eastAsia="仿宋_GB2312" w:cs="Courier New"/>
      <w:szCs w:val="21"/>
    </w:rPr>
  </w:style>
  <w:style w:type="paragraph" w:styleId="17">
    <w:name w:val="Date"/>
    <w:basedOn w:val="1"/>
    <w:next w:val="1"/>
    <w:link w:val="45"/>
    <w:qFormat/>
    <w:uiPriority w:val="0"/>
    <w:rPr>
      <w:sz w:val="24"/>
      <w:szCs w:val="20"/>
    </w:rPr>
  </w:style>
  <w:style w:type="paragraph" w:styleId="18">
    <w:name w:val="Body Text Indent 2"/>
    <w:basedOn w:val="1"/>
    <w:qFormat/>
    <w:uiPriority w:val="0"/>
    <w:pPr>
      <w:spacing w:after="120" w:line="480" w:lineRule="auto"/>
      <w:ind w:left="420" w:leftChars="200"/>
    </w:pPr>
  </w:style>
  <w:style w:type="paragraph" w:styleId="19">
    <w:name w:val="Balloon Text"/>
    <w:basedOn w:val="1"/>
    <w:link w:val="37"/>
    <w:semiHidden/>
    <w:qFormat/>
    <w:uiPriority w:val="0"/>
    <w:rPr>
      <w:sz w:val="18"/>
      <w:szCs w:val="18"/>
    </w:rPr>
  </w:style>
  <w:style w:type="paragraph" w:styleId="20">
    <w:name w:val="footer"/>
    <w:basedOn w:val="1"/>
    <w:link w:val="58"/>
    <w:unhideWhenUsed/>
    <w:qFormat/>
    <w:uiPriority w:val="99"/>
    <w:pPr>
      <w:tabs>
        <w:tab w:val="center" w:pos="4153"/>
        <w:tab w:val="right" w:pos="8306"/>
      </w:tabs>
      <w:snapToGrid w:val="0"/>
      <w:jc w:val="left"/>
    </w:pPr>
    <w:rPr>
      <w:sz w:val="18"/>
      <w:szCs w:val="18"/>
    </w:rPr>
  </w:style>
  <w:style w:type="paragraph" w:styleId="21">
    <w:name w:val="header"/>
    <w:basedOn w:val="1"/>
    <w:link w:val="48"/>
    <w:unhideWhenUsed/>
    <w:qFormat/>
    <w:uiPriority w:val="0"/>
    <w:pPr>
      <w:pBdr>
        <w:bottom w:val="single" w:color="auto" w:sz="6" w:space="1"/>
      </w:pBdr>
      <w:tabs>
        <w:tab w:val="center" w:pos="4153"/>
        <w:tab w:val="right" w:pos="8306"/>
      </w:tabs>
      <w:snapToGrid w:val="0"/>
      <w:jc w:val="center"/>
    </w:pPr>
    <w:rPr>
      <w:sz w:val="18"/>
      <w:szCs w:val="18"/>
    </w:rPr>
  </w:style>
  <w:style w:type="paragraph" w:styleId="22">
    <w:name w:val="List"/>
    <w:basedOn w:val="1"/>
    <w:qFormat/>
    <w:uiPriority w:val="0"/>
    <w:pPr>
      <w:autoSpaceDE w:val="0"/>
      <w:autoSpaceDN w:val="0"/>
      <w:adjustRightInd w:val="0"/>
      <w:ind w:left="360" w:hanging="360"/>
      <w:jc w:val="left"/>
      <w:textAlignment w:val="baseline"/>
    </w:pPr>
    <w:rPr>
      <w:kern w:val="0"/>
      <w:sz w:val="20"/>
      <w:szCs w:val="20"/>
    </w:rPr>
  </w:style>
  <w:style w:type="paragraph" w:styleId="23">
    <w:name w:val="Body Text Indent 3"/>
    <w:basedOn w:val="1"/>
    <w:link w:val="63"/>
    <w:qFormat/>
    <w:uiPriority w:val="0"/>
    <w:pPr>
      <w:spacing w:after="120"/>
      <w:ind w:left="420" w:leftChars="200"/>
    </w:pPr>
    <w:rPr>
      <w:sz w:val="16"/>
      <w:szCs w:val="16"/>
    </w:rPr>
  </w:style>
  <w:style w:type="paragraph" w:styleId="24">
    <w:name w:val="Normal (Web)"/>
    <w:basedOn w:val="1"/>
    <w:qFormat/>
    <w:uiPriority w:val="0"/>
    <w:pPr>
      <w:widowControl/>
      <w:spacing w:before="100" w:beforeAutospacing="1" w:after="100" w:afterAutospacing="1"/>
      <w:jc w:val="left"/>
    </w:pPr>
    <w:rPr>
      <w:rFonts w:ascii="宋体" w:hAnsi="宋体"/>
      <w:kern w:val="0"/>
      <w:sz w:val="24"/>
    </w:rPr>
  </w:style>
  <w:style w:type="paragraph" w:styleId="25">
    <w:name w:val="Title"/>
    <w:basedOn w:val="1"/>
    <w:link w:val="52"/>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26">
    <w:name w:val="annotation subject"/>
    <w:basedOn w:val="12"/>
    <w:next w:val="12"/>
    <w:link w:val="60"/>
    <w:semiHidden/>
    <w:qFormat/>
    <w:uiPriority w:val="0"/>
    <w:rPr>
      <w:b/>
      <w:bCs/>
    </w:rPr>
  </w:style>
  <w:style w:type="table" w:styleId="28">
    <w:name w:val="Table Grid"/>
    <w:basedOn w:val="27"/>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0">
    <w:name w:val="Strong"/>
    <w:basedOn w:val="29"/>
    <w:qFormat/>
    <w:uiPriority w:val="0"/>
    <w:rPr>
      <w:b/>
      <w:bCs/>
    </w:rPr>
  </w:style>
  <w:style w:type="character" w:styleId="31">
    <w:name w:val="page number"/>
    <w:basedOn w:val="29"/>
    <w:qFormat/>
    <w:uiPriority w:val="0"/>
  </w:style>
  <w:style w:type="character" w:styleId="32">
    <w:name w:val="FollowedHyperlink"/>
    <w:basedOn w:val="29"/>
    <w:qFormat/>
    <w:uiPriority w:val="0"/>
    <w:rPr>
      <w:color w:val="800080"/>
      <w:u w:val="single"/>
    </w:rPr>
  </w:style>
  <w:style w:type="character" w:styleId="33">
    <w:name w:val="Hyperlink"/>
    <w:basedOn w:val="29"/>
    <w:qFormat/>
    <w:uiPriority w:val="0"/>
    <w:rPr>
      <w:color w:val="0000FF"/>
      <w:u w:val="single"/>
    </w:rPr>
  </w:style>
  <w:style w:type="character" w:styleId="34">
    <w:name w:val="annotation reference"/>
    <w:basedOn w:val="29"/>
    <w:semiHidden/>
    <w:qFormat/>
    <w:uiPriority w:val="0"/>
    <w:rPr>
      <w:sz w:val="21"/>
      <w:szCs w:val="21"/>
    </w:rPr>
  </w:style>
  <w:style w:type="character" w:customStyle="1" w:styleId="35">
    <w:name w:val="标题 8 Char"/>
    <w:basedOn w:val="29"/>
    <w:link w:val="8"/>
    <w:qFormat/>
    <w:uiPriority w:val="0"/>
    <w:rPr>
      <w:rFonts w:ascii="Arial" w:hAnsi="Arial" w:eastAsia="黑体"/>
      <w:sz w:val="24"/>
      <w:szCs w:val="24"/>
      <w:lang w:val="en-US" w:eastAsia="zh-CN" w:bidi="ar-SA"/>
    </w:rPr>
  </w:style>
  <w:style w:type="character" w:customStyle="1" w:styleId="36">
    <w:name w:val="even Char"/>
    <w:basedOn w:val="29"/>
    <w:qFormat/>
    <w:uiPriority w:val="0"/>
    <w:rPr>
      <w:kern w:val="2"/>
      <w:sz w:val="18"/>
      <w:szCs w:val="18"/>
    </w:rPr>
  </w:style>
  <w:style w:type="character" w:customStyle="1" w:styleId="37">
    <w:name w:val="批注框文本 Char"/>
    <w:basedOn w:val="29"/>
    <w:link w:val="19"/>
    <w:semiHidden/>
    <w:qFormat/>
    <w:uiPriority w:val="0"/>
    <w:rPr>
      <w:rFonts w:eastAsia="宋体"/>
      <w:kern w:val="2"/>
      <w:sz w:val="18"/>
      <w:szCs w:val="18"/>
      <w:lang w:val="en-US" w:eastAsia="zh-CN" w:bidi="ar-SA"/>
    </w:rPr>
  </w:style>
  <w:style w:type="character" w:customStyle="1" w:styleId="38">
    <w:name w:val="标题 4 Char"/>
    <w:basedOn w:val="29"/>
    <w:link w:val="5"/>
    <w:qFormat/>
    <w:uiPriority w:val="0"/>
    <w:rPr>
      <w:rFonts w:ascii="Arial" w:hAnsi="Arial" w:eastAsia="黑体"/>
      <w:b/>
      <w:bCs/>
      <w:kern w:val="2"/>
      <w:sz w:val="28"/>
      <w:szCs w:val="28"/>
      <w:lang w:val="en-US" w:eastAsia="zh-CN" w:bidi="ar-SA"/>
    </w:rPr>
  </w:style>
  <w:style w:type="character" w:customStyle="1" w:styleId="39">
    <w:name w:val="普通文字 Char Char"/>
    <w:basedOn w:val="29"/>
    <w:qFormat/>
    <w:uiPriority w:val="0"/>
    <w:rPr>
      <w:rFonts w:ascii="宋体" w:hAnsi="Courier New" w:eastAsia="宋体" w:cs="Courier New"/>
      <w:kern w:val="2"/>
      <w:sz w:val="21"/>
      <w:szCs w:val="21"/>
      <w:lang w:val="en-US" w:eastAsia="zh-CN" w:bidi="ar-SA"/>
    </w:rPr>
  </w:style>
  <w:style w:type="character" w:customStyle="1" w:styleId="40">
    <w:name w:val="Char Char2"/>
    <w:basedOn w:val="29"/>
    <w:qFormat/>
    <w:uiPriority w:val="0"/>
    <w:rPr>
      <w:kern w:val="2"/>
      <w:sz w:val="18"/>
      <w:szCs w:val="18"/>
    </w:rPr>
  </w:style>
  <w:style w:type="character" w:customStyle="1" w:styleId="41">
    <w:name w:val="标题 1 Char"/>
    <w:basedOn w:val="29"/>
    <w:link w:val="2"/>
    <w:qFormat/>
    <w:uiPriority w:val="0"/>
    <w:rPr>
      <w:rFonts w:eastAsia="宋体"/>
      <w:b/>
      <w:bCs/>
      <w:kern w:val="44"/>
      <w:sz w:val="44"/>
      <w:szCs w:val="44"/>
      <w:lang w:val="en-US" w:eastAsia="zh-CN" w:bidi="ar-SA"/>
    </w:rPr>
  </w:style>
  <w:style w:type="character" w:customStyle="1" w:styleId="42">
    <w:name w:val="正文文本缩进 Char"/>
    <w:basedOn w:val="29"/>
    <w:link w:val="15"/>
    <w:qFormat/>
    <w:uiPriority w:val="0"/>
    <w:rPr>
      <w:rFonts w:eastAsia="宋体"/>
      <w:kern w:val="2"/>
      <w:sz w:val="21"/>
      <w:szCs w:val="24"/>
      <w:lang w:val="en-US" w:eastAsia="zh-CN" w:bidi="ar-SA"/>
    </w:rPr>
  </w:style>
  <w:style w:type="character" w:customStyle="1" w:styleId="43">
    <w:name w:val="标题 6 Char"/>
    <w:basedOn w:val="29"/>
    <w:link w:val="6"/>
    <w:qFormat/>
    <w:uiPriority w:val="0"/>
    <w:rPr>
      <w:rFonts w:ascii="Arial" w:hAnsi="Arial" w:eastAsia="黑体"/>
      <w:b/>
      <w:bCs/>
      <w:sz w:val="24"/>
      <w:szCs w:val="24"/>
      <w:lang w:val="en-US" w:eastAsia="zh-CN" w:bidi="ar-SA"/>
    </w:rPr>
  </w:style>
  <w:style w:type="character" w:customStyle="1" w:styleId="44">
    <w:name w:val="文档结构图 Char"/>
    <w:basedOn w:val="29"/>
    <w:link w:val="11"/>
    <w:semiHidden/>
    <w:qFormat/>
    <w:uiPriority w:val="0"/>
    <w:rPr>
      <w:rFonts w:eastAsia="宋体"/>
      <w:kern w:val="2"/>
      <w:sz w:val="21"/>
      <w:szCs w:val="24"/>
      <w:lang w:val="en-US" w:eastAsia="zh-CN" w:bidi="ar-SA"/>
    </w:rPr>
  </w:style>
  <w:style w:type="character" w:customStyle="1" w:styleId="45">
    <w:name w:val="日期 Char"/>
    <w:basedOn w:val="29"/>
    <w:link w:val="17"/>
    <w:qFormat/>
    <w:uiPriority w:val="0"/>
    <w:rPr>
      <w:rFonts w:eastAsia="宋体"/>
      <w:kern w:val="2"/>
      <w:sz w:val="24"/>
      <w:lang w:val="en-US" w:eastAsia="zh-CN" w:bidi="ar-SA"/>
    </w:rPr>
  </w:style>
  <w:style w:type="character" w:customStyle="1" w:styleId="46">
    <w:name w:val="普通文字 Char1"/>
    <w:basedOn w:val="29"/>
    <w:qFormat/>
    <w:uiPriority w:val="0"/>
    <w:rPr>
      <w:rFonts w:ascii="宋体" w:hAnsi="Courier New" w:eastAsia="仿宋_GB2312" w:cs="Courier New"/>
      <w:kern w:val="2"/>
      <w:sz w:val="21"/>
      <w:szCs w:val="21"/>
      <w:lang w:val="en-US" w:eastAsia="zh-CN" w:bidi="ar-SA"/>
    </w:rPr>
  </w:style>
  <w:style w:type="character" w:customStyle="1" w:styleId="47">
    <w:name w:val="标题 9 Char"/>
    <w:basedOn w:val="29"/>
    <w:link w:val="9"/>
    <w:qFormat/>
    <w:uiPriority w:val="0"/>
    <w:rPr>
      <w:rFonts w:ascii="Arial" w:hAnsi="Arial" w:eastAsia="黑体"/>
      <w:sz w:val="21"/>
      <w:szCs w:val="21"/>
      <w:lang w:val="en-US" w:eastAsia="zh-CN" w:bidi="ar-SA"/>
    </w:rPr>
  </w:style>
  <w:style w:type="character" w:customStyle="1" w:styleId="48">
    <w:name w:val="页眉 Char"/>
    <w:basedOn w:val="29"/>
    <w:link w:val="21"/>
    <w:qFormat/>
    <w:uiPriority w:val="0"/>
    <w:rPr>
      <w:rFonts w:eastAsia="宋体"/>
      <w:kern w:val="2"/>
      <w:sz w:val="18"/>
      <w:szCs w:val="18"/>
      <w:lang w:val="en-US" w:eastAsia="zh-CN" w:bidi="ar-SA"/>
    </w:rPr>
  </w:style>
  <w:style w:type="character" w:customStyle="1" w:styleId="49">
    <w:name w:val="正文文本 Char"/>
    <w:basedOn w:val="29"/>
    <w:link w:val="14"/>
    <w:qFormat/>
    <w:uiPriority w:val="0"/>
    <w:rPr>
      <w:rFonts w:eastAsia="宋体"/>
      <w:kern w:val="2"/>
      <w:sz w:val="21"/>
      <w:szCs w:val="24"/>
      <w:lang w:val="en-US" w:eastAsia="zh-CN" w:bidi="ar-SA"/>
    </w:rPr>
  </w:style>
  <w:style w:type="character" w:customStyle="1" w:styleId="50">
    <w:name w:val="纯文本 Char1"/>
    <w:basedOn w:val="29"/>
    <w:qFormat/>
    <w:uiPriority w:val="0"/>
    <w:rPr>
      <w:rFonts w:ascii="宋体" w:hAnsi="Courier New" w:eastAsia="宋体" w:cs="Courier New"/>
      <w:kern w:val="2"/>
      <w:sz w:val="21"/>
      <w:szCs w:val="21"/>
      <w:lang w:val="en-US" w:eastAsia="zh-CN" w:bidi="ar-SA"/>
    </w:rPr>
  </w:style>
  <w:style w:type="character" w:customStyle="1" w:styleId="51">
    <w:name w:val="Char Char3"/>
    <w:basedOn w:val="29"/>
    <w:qFormat/>
    <w:uiPriority w:val="0"/>
    <w:rPr>
      <w:rFonts w:ascii="Arial" w:hAnsi="Arial" w:eastAsia="黑体"/>
      <w:b/>
      <w:bCs/>
      <w:kern w:val="2"/>
      <w:sz w:val="32"/>
      <w:szCs w:val="32"/>
      <w:lang w:val="en-US" w:eastAsia="zh-CN" w:bidi="ar-SA"/>
    </w:rPr>
  </w:style>
  <w:style w:type="character" w:customStyle="1" w:styleId="52">
    <w:name w:val="标题 Char"/>
    <w:basedOn w:val="29"/>
    <w:link w:val="25"/>
    <w:qFormat/>
    <w:uiPriority w:val="0"/>
    <w:rPr>
      <w:rFonts w:ascii="Arial" w:hAnsi="Arial" w:eastAsia="宋体"/>
      <w:b/>
      <w:sz w:val="32"/>
      <w:lang w:val="en-US" w:eastAsia="zh-CN" w:bidi="ar-SA"/>
    </w:rPr>
  </w:style>
  <w:style w:type="character" w:customStyle="1" w:styleId="53">
    <w:name w:val="标题 7 Char"/>
    <w:basedOn w:val="29"/>
    <w:link w:val="7"/>
    <w:qFormat/>
    <w:uiPriority w:val="0"/>
    <w:rPr>
      <w:rFonts w:eastAsia="宋体"/>
      <w:b/>
      <w:bCs/>
      <w:sz w:val="24"/>
      <w:szCs w:val="24"/>
      <w:lang w:val="en-US" w:eastAsia="zh-CN" w:bidi="ar-SA"/>
    </w:rPr>
  </w:style>
  <w:style w:type="character" w:customStyle="1" w:styleId="54">
    <w:name w:val="正文文本 3 Char"/>
    <w:basedOn w:val="29"/>
    <w:link w:val="13"/>
    <w:qFormat/>
    <w:uiPriority w:val="0"/>
    <w:rPr>
      <w:rFonts w:ascii="宋体" w:eastAsia="宋体"/>
      <w:kern w:val="2"/>
      <w:sz w:val="24"/>
      <w:lang w:val="en-US" w:eastAsia="zh-CN" w:bidi="ar-SA"/>
    </w:rPr>
  </w:style>
  <w:style w:type="character" w:customStyle="1" w:styleId="55">
    <w:name w:val="Char Char1"/>
    <w:basedOn w:val="29"/>
    <w:qFormat/>
    <w:uiPriority w:val="0"/>
    <w:rPr>
      <w:rFonts w:ascii="宋体"/>
      <w:kern w:val="2"/>
      <w:sz w:val="24"/>
    </w:rPr>
  </w:style>
  <w:style w:type="character" w:customStyle="1" w:styleId="56">
    <w:name w:val="font161"/>
    <w:basedOn w:val="29"/>
    <w:qFormat/>
    <w:uiPriority w:val="0"/>
    <w:rPr>
      <w:b/>
      <w:bCs/>
      <w:sz w:val="32"/>
      <w:szCs w:val="32"/>
    </w:rPr>
  </w:style>
  <w:style w:type="character" w:customStyle="1" w:styleId="57">
    <w:name w:val="纯文本 Char"/>
    <w:basedOn w:val="29"/>
    <w:link w:val="16"/>
    <w:qFormat/>
    <w:uiPriority w:val="0"/>
    <w:rPr>
      <w:rFonts w:ascii="宋体" w:hAnsi="Courier New" w:eastAsia="仿宋_GB2312" w:cs="Courier New"/>
      <w:kern w:val="2"/>
      <w:sz w:val="21"/>
      <w:szCs w:val="21"/>
      <w:lang w:val="en-US" w:eastAsia="zh-CN" w:bidi="ar-SA"/>
    </w:rPr>
  </w:style>
  <w:style w:type="character" w:customStyle="1" w:styleId="58">
    <w:name w:val="页脚 Char"/>
    <w:basedOn w:val="29"/>
    <w:link w:val="20"/>
    <w:qFormat/>
    <w:uiPriority w:val="99"/>
    <w:rPr>
      <w:rFonts w:eastAsia="宋体"/>
      <w:kern w:val="2"/>
      <w:sz w:val="18"/>
      <w:szCs w:val="18"/>
      <w:lang w:val="en-US" w:eastAsia="zh-CN" w:bidi="ar-SA"/>
    </w:rPr>
  </w:style>
  <w:style w:type="character" w:customStyle="1" w:styleId="59">
    <w:name w:val="标题 2 Char"/>
    <w:basedOn w:val="29"/>
    <w:link w:val="3"/>
    <w:qFormat/>
    <w:uiPriority w:val="0"/>
    <w:rPr>
      <w:rFonts w:ascii="Arial" w:hAnsi="Arial" w:eastAsia="黑体"/>
      <w:b/>
      <w:bCs/>
      <w:kern w:val="2"/>
      <w:sz w:val="32"/>
      <w:szCs w:val="32"/>
      <w:lang w:val="en-US" w:eastAsia="zh-CN" w:bidi="ar-SA"/>
    </w:rPr>
  </w:style>
  <w:style w:type="character" w:customStyle="1" w:styleId="60">
    <w:name w:val="批注主题 Char"/>
    <w:basedOn w:val="61"/>
    <w:link w:val="26"/>
    <w:semiHidden/>
    <w:qFormat/>
    <w:uiPriority w:val="0"/>
    <w:rPr>
      <w:b/>
      <w:bCs/>
    </w:rPr>
  </w:style>
  <w:style w:type="character" w:customStyle="1" w:styleId="61">
    <w:name w:val="批注文字 Char"/>
    <w:basedOn w:val="29"/>
    <w:link w:val="12"/>
    <w:semiHidden/>
    <w:qFormat/>
    <w:uiPriority w:val="0"/>
    <w:rPr>
      <w:rFonts w:eastAsia="宋体"/>
      <w:kern w:val="2"/>
      <w:sz w:val="21"/>
      <w:szCs w:val="24"/>
      <w:lang w:val="en-US" w:eastAsia="zh-CN" w:bidi="ar-SA"/>
    </w:rPr>
  </w:style>
  <w:style w:type="character" w:customStyle="1" w:styleId="62">
    <w:name w:val="标题 3 Char"/>
    <w:basedOn w:val="29"/>
    <w:link w:val="4"/>
    <w:qFormat/>
    <w:uiPriority w:val="0"/>
    <w:rPr>
      <w:rFonts w:eastAsia="宋体"/>
      <w:b/>
      <w:bCs/>
      <w:kern w:val="2"/>
      <w:sz w:val="32"/>
      <w:szCs w:val="32"/>
      <w:lang w:val="en-US" w:eastAsia="zh-CN" w:bidi="ar-SA"/>
    </w:rPr>
  </w:style>
  <w:style w:type="character" w:customStyle="1" w:styleId="63">
    <w:name w:val="正文文本缩进 3 Char"/>
    <w:basedOn w:val="29"/>
    <w:link w:val="23"/>
    <w:qFormat/>
    <w:uiPriority w:val="0"/>
    <w:rPr>
      <w:rFonts w:eastAsia="宋体"/>
      <w:kern w:val="2"/>
      <w:sz w:val="16"/>
      <w:szCs w:val="16"/>
      <w:lang w:val="en-US" w:eastAsia="zh-CN" w:bidi="ar-SA"/>
    </w:rPr>
  </w:style>
  <w:style w:type="character" w:customStyle="1" w:styleId="64">
    <w:name w:val="Char Char Char"/>
    <w:basedOn w:val="29"/>
    <w:qFormat/>
    <w:uiPriority w:val="0"/>
    <w:rPr>
      <w:rFonts w:ascii="宋体" w:hAnsi="Courier New" w:eastAsia="仿宋_GB2312" w:cs="Courier New"/>
      <w:kern w:val="2"/>
      <w:sz w:val="21"/>
      <w:szCs w:val="21"/>
    </w:rPr>
  </w:style>
  <w:style w:type="paragraph" w:customStyle="1" w:styleId="6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66">
    <w:name w:val="Char2"/>
    <w:basedOn w:val="1"/>
    <w:next w:val="1"/>
    <w:qFormat/>
    <w:uiPriority w:val="0"/>
    <w:pPr>
      <w:widowControl/>
      <w:tabs>
        <w:tab w:val="left" w:pos="777"/>
      </w:tabs>
      <w:spacing w:beforeLines="50" w:afterLines="100" w:line="360" w:lineRule="auto"/>
      <w:ind w:left="2210" w:hanging="748" w:firstLineChars="200"/>
      <w:jc w:val="center"/>
    </w:pPr>
    <w:rPr>
      <w:rFonts w:eastAsia="仿宋_GB2312"/>
      <w:sz w:val="28"/>
    </w:rPr>
  </w:style>
  <w:style w:type="paragraph" w:customStyle="1" w:styleId="67">
    <w:name w:val="普通(Web)"/>
    <w:basedOn w:val="1"/>
    <w:qFormat/>
    <w:uiPriority w:val="0"/>
    <w:pPr>
      <w:widowControl/>
      <w:spacing w:before="100" w:beforeAutospacing="1" w:after="100" w:afterAutospacing="1"/>
      <w:jc w:val="left"/>
    </w:pPr>
    <w:rPr>
      <w:rFonts w:ascii="宋体" w:hAnsi="宋体"/>
      <w:kern w:val="0"/>
      <w:sz w:val="24"/>
    </w:rPr>
  </w:style>
  <w:style w:type="paragraph" w:customStyle="1" w:styleId="68">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69">
    <w:name w:val="节"/>
    <w:basedOn w:val="3"/>
    <w:qFormat/>
    <w:uiPriority w:val="0"/>
    <w:pPr>
      <w:tabs>
        <w:tab w:val="left" w:pos="576"/>
      </w:tabs>
      <w:spacing w:line="240" w:lineRule="auto"/>
      <w:ind w:left="576" w:hanging="576"/>
    </w:pPr>
    <w:rPr>
      <w:rFonts w:ascii="黑体"/>
      <w:b w:val="0"/>
      <w:sz w:val="28"/>
      <w:szCs w:val="28"/>
    </w:rPr>
  </w:style>
  <w:style w:type="paragraph" w:customStyle="1" w:styleId="70">
    <w:name w:val="公文标题"/>
    <w:basedOn w:val="1"/>
    <w:qFormat/>
    <w:uiPriority w:val="0"/>
    <w:pPr>
      <w:jc w:val="center"/>
    </w:pPr>
    <w:rPr>
      <w:rFonts w:ascii="仿宋_GB2312" w:eastAsia="仿宋_GB2312"/>
      <w:sz w:val="44"/>
      <w:szCs w:val="32"/>
    </w:rPr>
  </w:style>
  <w:style w:type="paragraph" w:customStyle="1" w:styleId="71">
    <w:name w:val="Char Char Char Char Char Char"/>
    <w:basedOn w:val="11"/>
    <w:qFormat/>
    <w:uiPriority w:val="0"/>
    <w:pPr>
      <w:adjustRightInd w:val="0"/>
      <w:spacing w:line="436" w:lineRule="exact"/>
      <w:ind w:left="357"/>
      <w:jc w:val="left"/>
      <w:outlineLvl w:val="3"/>
    </w:pPr>
    <w:rPr>
      <w:rFonts w:ascii="Tahoma" w:hAnsi="Tahoma"/>
      <w:b/>
      <w:sz w:val="24"/>
    </w:rPr>
  </w:style>
  <w:style w:type="paragraph" w:customStyle="1" w:styleId="72">
    <w:name w:val="表格"/>
    <w:basedOn w:val="1"/>
    <w:qFormat/>
    <w:uiPriority w:val="0"/>
    <w:pPr>
      <w:jc w:val="center"/>
      <w:textAlignment w:val="center"/>
    </w:pPr>
    <w:rPr>
      <w:rFonts w:ascii="华文细黑" w:hAnsi="华文细黑"/>
      <w:kern w:val="0"/>
      <w:szCs w:val="20"/>
    </w:rPr>
  </w:style>
  <w:style w:type="paragraph" w:customStyle="1" w:styleId="73">
    <w:name w:val="1"/>
    <w:basedOn w:val="1"/>
    <w:qFormat/>
    <w:uiPriority w:val="0"/>
  </w:style>
  <w:style w:type="paragraph" w:customStyle="1" w:styleId="74">
    <w:name w:val="表格文字"/>
    <w:basedOn w:val="1"/>
    <w:qFormat/>
    <w:uiPriority w:val="0"/>
    <w:pPr>
      <w:adjustRightInd w:val="0"/>
      <w:spacing w:line="420" w:lineRule="atLeast"/>
      <w:jc w:val="left"/>
      <w:textAlignment w:val="baseline"/>
    </w:pPr>
    <w:rPr>
      <w:kern w:val="0"/>
      <w:szCs w:val="20"/>
    </w:rPr>
  </w:style>
  <w:style w:type="paragraph" w:customStyle="1" w:styleId="75">
    <w:name w:val="Char Char Char Char Char Char1"/>
    <w:basedOn w:val="11"/>
    <w:qFormat/>
    <w:uiPriority w:val="0"/>
    <w:pPr>
      <w:adjustRightInd w:val="0"/>
      <w:spacing w:line="436" w:lineRule="exact"/>
      <w:ind w:left="357"/>
      <w:jc w:val="left"/>
      <w:outlineLvl w:val="3"/>
    </w:pPr>
    <w:rPr>
      <w:rFonts w:ascii="Tahoma" w:hAnsi="Tahoma"/>
      <w:b/>
      <w:sz w:val="24"/>
    </w:rPr>
  </w:style>
  <w:style w:type="paragraph" w:customStyle="1" w:styleId="76">
    <w:name w:val="样式 WG标题2 + 行距: 固定值 18 磅"/>
    <w:basedOn w:val="1"/>
    <w:qFormat/>
    <w:uiPriority w:val="0"/>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77">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 w:val="32"/>
      <w:szCs w:val="20"/>
    </w:rPr>
  </w:style>
  <w:style w:type="paragraph" w:customStyle="1" w:styleId="78">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BC5643-F07D-47A3-9375-F904E8D705A6}">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13</Pages>
  <Words>772</Words>
  <Characters>4402</Characters>
  <Lines>36</Lines>
  <Paragraphs>10</Paragraphs>
  <TotalTime>53</TotalTime>
  <ScaleCrop>false</ScaleCrop>
  <LinksUpToDate>false</LinksUpToDate>
  <CharactersWithSpaces>5164</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2016-07-11T01:12:00Z</dcterms:created>
  <dc:creator>User</dc:creator>
  <cp:lastModifiedBy>Administrator</cp:lastModifiedBy>
  <cp:lastPrinted>2017-04-24T08:23:00Z</cp:lastPrinted>
  <dcterms:modified xsi:type="dcterms:W3CDTF">2020-04-08T04:02:32Z</dcterms:modified>
  <dc:title>中建四局采购中心贵州中建双元建材有限公司联大正通搅拌站散装水泥运输招标</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